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76" w:type="dxa"/>
        <w:tblCellMar>
          <w:left w:w="0" w:type="dxa"/>
          <w:right w:w="0" w:type="dxa"/>
        </w:tblCellMar>
        <w:tblLook w:val="04A0" w:firstRow="1" w:lastRow="0" w:firstColumn="1" w:lastColumn="0" w:noHBand="0" w:noVBand="1"/>
      </w:tblPr>
      <w:tblGrid>
        <w:gridCol w:w="5221"/>
        <w:gridCol w:w="5455"/>
      </w:tblGrid>
      <w:tr w:rsidR="00A939E2" w:rsidRPr="00A939E2" w14:paraId="0CD8798C" w14:textId="77777777">
        <w:trPr>
          <w:trHeight w:val="87"/>
        </w:trPr>
        <w:tc>
          <w:tcPr>
            <w:tcW w:w="5010" w:type="dxa"/>
            <w:tcMar>
              <w:top w:w="0" w:type="dxa"/>
              <w:left w:w="108" w:type="dxa"/>
              <w:bottom w:w="0" w:type="dxa"/>
              <w:right w:w="108" w:type="dxa"/>
            </w:tcMar>
            <w:hideMark/>
          </w:tcPr>
          <w:p w14:paraId="79A0E27D" w14:textId="77777777" w:rsidR="00A939E2" w:rsidRPr="00A939E2" w:rsidRDefault="00A939E2" w:rsidP="00A939E2">
            <w:pPr>
              <w:spacing w:after="0" w:line="240" w:lineRule="auto"/>
              <w:rPr>
                <w:rFonts w:ascii="Calibri" w:eastAsia="Times New Roman" w:hAnsi="Calibri" w:cs="Calibri"/>
                <w:kern w:val="0"/>
                <w:lang w:eastAsia="es-ES"/>
                <w14:ligatures w14:val="none"/>
              </w:rPr>
            </w:pPr>
            <w:r w:rsidRPr="00A939E2">
              <w:rPr>
                <w:rFonts w:ascii="inherit" w:eastAsia="Times New Roman" w:hAnsi="inherit" w:cs="Calibri"/>
                <w:noProof/>
                <w:kern w:val="0"/>
                <w:sz w:val="26"/>
                <w:szCs w:val="26"/>
                <w:bdr w:val="none" w:sz="0" w:space="0" w:color="auto" w:frame="1"/>
                <w:lang w:eastAsia="es-ES"/>
                <w14:ligatures w14:val="none"/>
              </w:rPr>
              <w:drawing>
                <wp:inline distT="0" distB="0" distL="0" distR="0" wp14:anchorId="04B1DE9E" wp14:editId="182B03BA">
                  <wp:extent cx="2041415" cy="815340"/>
                  <wp:effectExtent l="0" t="0" r="0" b="381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63949" cy="824340"/>
                          </a:xfrm>
                          <a:prstGeom prst="rect">
                            <a:avLst/>
                          </a:prstGeom>
                          <a:noFill/>
                          <a:ln>
                            <a:noFill/>
                          </a:ln>
                        </pic:spPr>
                      </pic:pic>
                    </a:graphicData>
                  </a:graphic>
                </wp:inline>
              </w:drawing>
            </w:r>
          </w:p>
        </w:tc>
        <w:tc>
          <w:tcPr>
            <w:tcW w:w="5235" w:type="dxa"/>
            <w:tcMar>
              <w:top w:w="0" w:type="dxa"/>
              <w:left w:w="108" w:type="dxa"/>
              <w:bottom w:w="0" w:type="dxa"/>
              <w:right w:w="108" w:type="dxa"/>
            </w:tcMar>
            <w:hideMark/>
          </w:tcPr>
          <w:p w14:paraId="2C1DC342" w14:textId="77777777" w:rsidR="00A939E2" w:rsidRPr="00A939E2" w:rsidRDefault="00A939E2" w:rsidP="00A939E2">
            <w:pPr>
              <w:spacing w:after="0" w:line="240" w:lineRule="auto"/>
              <w:rPr>
                <w:rFonts w:ascii="Calibri" w:eastAsia="Times New Roman" w:hAnsi="Calibri" w:cs="Calibri"/>
                <w:kern w:val="0"/>
                <w:lang w:eastAsia="es-ES"/>
                <w14:ligatures w14:val="none"/>
              </w:rPr>
            </w:pPr>
            <w:r w:rsidRPr="00A939E2">
              <w:rPr>
                <w:rFonts w:ascii="inherit" w:eastAsia="Times New Roman" w:hAnsi="inherit" w:cs="Calibri"/>
                <w:noProof/>
                <w:kern w:val="0"/>
                <w:sz w:val="26"/>
                <w:szCs w:val="26"/>
                <w:bdr w:val="none" w:sz="0" w:space="0" w:color="auto" w:frame="1"/>
                <w:lang w:eastAsia="es-ES"/>
                <w14:ligatures w14:val="none"/>
              </w:rPr>
              <w:drawing>
                <wp:inline distT="0" distB="0" distL="0" distR="0" wp14:anchorId="7E60E5FF" wp14:editId="129D426E">
                  <wp:extent cx="2703737" cy="1008688"/>
                  <wp:effectExtent l="0" t="0" r="1905" b="127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8043" cy="1017756"/>
                          </a:xfrm>
                          <a:prstGeom prst="rect">
                            <a:avLst/>
                          </a:prstGeom>
                          <a:noFill/>
                          <a:ln>
                            <a:noFill/>
                          </a:ln>
                        </pic:spPr>
                      </pic:pic>
                    </a:graphicData>
                  </a:graphic>
                </wp:inline>
              </w:drawing>
            </w:r>
          </w:p>
        </w:tc>
      </w:tr>
    </w:tbl>
    <w:p w14:paraId="67BB96AC" w14:textId="77777777" w:rsidR="00A939E2" w:rsidRPr="00A939E2" w:rsidRDefault="00A939E2" w:rsidP="00A939E2">
      <w:pPr>
        <w:shd w:val="clear" w:color="auto" w:fill="FFFFFF"/>
        <w:spacing w:after="0" w:line="240" w:lineRule="auto"/>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bdr w:val="none" w:sz="0" w:space="0" w:color="auto" w:frame="1"/>
          <w:lang w:val="en-US" w:eastAsia="es-ES"/>
          <w14:ligatures w14:val="none"/>
        </w:rPr>
        <w:t>French and Spanish versions below</w:t>
      </w:r>
    </w:p>
    <w:p w14:paraId="229021C6" w14:textId="77777777" w:rsidR="00A939E2" w:rsidRPr="00A939E2" w:rsidRDefault="00A939E2" w:rsidP="00A939E2">
      <w:pPr>
        <w:shd w:val="clear" w:color="auto" w:fill="FFFFFF"/>
        <w:spacing w:after="0" w:line="240" w:lineRule="auto"/>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val="en-GB" w:eastAsia="es-ES"/>
          <w14:ligatures w14:val="none"/>
        </w:rPr>
        <w:t> </w:t>
      </w:r>
    </w:p>
    <w:p w14:paraId="0E6C61E1" w14:textId="77777777" w:rsidR="00A939E2" w:rsidRPr="00A939E2" w:rsidRDefault="00A939E2" w:rsidP="00A939E2">
      <w:pPr>
        <w:shd w:val="clear" w:color="auto" w:fill="FFFFFF"/>
        <w:spacing w:after="0" w:line="240" w:lineRule="auto"/>
        <w:jc w:val="center"/>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color w:val="000000"/>
          <w:kern w:val="0"/>
          <w:sz w:val="28"/>
          <w:szCs w:val="28"/>
          <w:bdr w:val="none" w:sz="0" w:space="0" w:color="auto" w:frame="1"/>
          <w:lang w:val="en-GB" w:eastAsia="es-ES"/>
          <w14:ligatures w14:val="none"/>
        </w:rPr>
        <w:t>Rethinking progress: UN expert calls to fight poverty beyond growth and expand social protection</w:t>
      </w:r>
    </w:p>
    <w:p w14:paraId="6EF3AA02" w14:textId="77777777" w:rsidR="00A939E2" w:rsidRPr="00A939E2" w:rsidRDefault="00A939E2" w:rsidP="00A939E2">
      <w:pPr>
        <w:shd w:val="clear" w:color="auto" w:fill="FFFFFF"/>
        <w:spacing w:after="0" w:line="240" w:lineRule="auto"/>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sz w:val="26"/>
          <w:szCs w:val="26"/>
          <w:bdr w:val="none" w:sz="0" w:space="0" w:color="auto" w:frame="1"/>
          <w:lang w:val="en-GB" w:eastAsia="es-ES"/>
          <w14:ligatures w14:val="none"/>
        </w:rPr>
        <w:t> </w:t>
      </w:r>
    </w:p>
    <w:p w14:paraId="14CE148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n-US" w:eastAsia="es-ES"/>
          <w14:ligatures w14:val="none"/>
        </w:rPr>
        <w:t>GENEVA (25 June 2026) </w:t>
      </w:r>
      <w:r w:rsidRPr="00A939E2">
        <w:rPr>
          <w:rFonts w:ascii="Calibri" w:eastAsia="Times New Roman" w:hAnsi="Calibri" w:cs="Calibri"/>
          <w:color w:val="000000"/>
          <w:kern w:val="0"/>
          <w:sz w:val="26"/>
          <w:szCs w:val="26"/>
          <w:bdr w:val="none" w:sz="0" w:space="0" w:color="auto" w:frame="1"/>
          <w:lang w:val="en-GB" w:eastAsia="es-ES"/>
          <w14:ligatures w14:val="none"/>
        </w:rPr>
        <w:t>– There must be a fundamental shift in global anti-poverty strategies, moving beyond the notion that economic “growth” is the only path to eradicating poverty, the Special Rapporteur on extreme poverty and human rights, Elena Díaz Galán said today, presenting the </w:t>
      </w:r>
      <w:hyperlink r:id="rId6" w:tgtFrame="_blank" w:tooltip="https://www.ohchr.org/en/documents/thematic-reports/ahrc6242add2-roadmap-eradicating-poverty-beyond-growth-report-special" w:history="1">
        <w:r w:rsidRPr="00A939E2">
          <w:rPr>
            <w:rFonts w:ascii="Calibri" w:eastAsia="Times New Roman" w:hAnsi="Calibri" w:cs="Calibri"/>
            <w:b/>
            <w:bCs/>
            <w:color w:val="0000FF"/>
            <w:kern w:val="0"/>
            <w:sz w:val="26"/>
            <w:szCs w:val="26"/>
            <w:u w:val="single"/>
            <w:bdr w:val="none" w:sz="0" w:space="0" w:color="auto" w:frame="1"/>
            <w:lang w:val="en-GB" w:eastAsia="es-ES"/>
            <w14:ligatures w14:val="none"/>
          </w:rPr>
          <w:t>Roadmap for Eradicating Poverty Beyond Growth</w:t>
        </w:r>
      </w:hyperlink>
      <w:r w:rsidRPr="00A939E2">
        <w:rPr>
          <w:rFonts w:ascii="Calibri" w:eastAsia="Times New Roman" w:hAnsi="Calibri" w:cs="Calibri"/>
          <w:color w:val="000000"/>
          <w:kern w:val="0"/>
          <w:sz w:val="26"/>
          <w:szCs w:val="26"/>
          <w:bdr w:val="none" w:sz="0" w:space="0" w:color="auto" w:frame="1"/>
          <w:lang w:val="en-GB" w:eastAsia="es-ES"/>
          <w14:ligatures w14:val="none"/>
        </w:rPr>
        <w:t> to the Human Rights Council.</w:t>
      </w:r>
    </w:p>
    <w:p w14:paraId="40F7289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64DCC14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“What matters to people living in poverty is not abstract economic expansion, but real improvements in living conditions. Poverty is multidimensional and lived; it cannot be reduced to income, or solved by growth alone,” Díaz Galán said.</w:t>
      </w:r>
    </w:p>
    <w:p w14:paraId="03EFC93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color w:val="000000"/>
          <w:kern w:val="0"/>
          <w:sz w:val="26"/>
          <w:szCs w:val="26"/>
          <w:bdr w:val="none" w:sz="0" w:space="0" w:color="auto" w:frame="1"/>
          <w:lang w:val="en-GB" w:eastAsia="es-ES"/>
          <w14:ligatures w14:val="none"/>
        </w:rPr>
        <w:t> </w:t>
      </w:r>
    </w:p>
    <w:p w14:paraId="2107FA1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The </w:t>
      </w:r>
      <w:hyperlink r:id="rId7" w:tgtFrame="_blank" w:tooltip="https://www.ohchr.org/en/documents/thematic-reports/ahrc6242-manufacturing-poverty-report-special-rapporteur-extreme-poverty" w:history="1">
        <w:r w:rsidRPr="00A939E2">
          <w:rPr>
            <w:rFonts w:ascii="Calibri" w:eastAsia="Times New Roman" w:hAnsi="Calibri" w:cs="Calibri"/>
            <w:b/>
            <w:bCs/>
            <w:color w:val="0000FF"/>
            <w:kern w:val="0"/>
            <w:sz w:val="26"/>
            <w:szCs w:val="26"/>
            <w:u w:val="single"/>
            <w:bdr w:val="none" w:sz="0" w:space="0" w:color="auto" w:frame="1"/>
            <w:lang w:val="en-GB" w:eastAsia="es-ES"/>
            <w14:ligatures w14:val="none"/>
          </w:rPr>
          <w:t>report</w:t>
        </w:r>
      </w:hyperlink>
      <w:r w:rsidRPr="00A939E2">
        <w:rPr>
          <w:rFonts w:ascii="Calibri" w:eastAsia="Times New Roman" w:hAnsi="Calibri" w:cs="Calibri"/>
          <w:color w:val="000000"/>
          <w:kern w:val="0"/>
          <w:sz w:val="26"/>
          <w:szCs w:val="26"/>
          <w:bdr w:val="none" w:sz="0" w:space="0" w:color="auto" w:frame="1"/>
          <w:lang w:val="en-GB" w:eastAsia="es-ES"/>
          <w14:ligatures w14:val="none"/>
        </w:rPr>
        <w:t> and the </w:t>
      </w:r>
      <w:hyperlink r:id="rId8"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n-GB" w:eastAsia="es-ES"/>
            <w14:ligatures w14:val="none"/>
          </w:rPr>
          <w:t>Roadmap</w:t>
        </w:r>
      </w:hyperlink>
      <w:r w:rsidRPr="00A939E2">
        <w:rPr>
          <w:rFonts w:ascii="Calibri" w:eastAsia="Times New Roman" w:hAnsi="Calibri" w:cs="Calibri"/>
          <w:color w:val="000000"/>
          <w:kern w:val="0"/>
          <w:sz w:val="26"/>
          <w:szCs w:val="26"/>
          <w:bdr w:val="none" w:sz="0" w:space="0" w:color="auto" w:frame="1"/>
          <w:lang w:val="en-GB" w:eastAsia="es-ES"/>
          <w14:ligatures w14:val="none"/>
        </w:rPr>
        <w:t>, prepared by the previous Special Rapporteur on extreme poverty and human rights, Olivier De Schutter, highlights the transformative potential of national anti-poverty strategies developed through genuine participatory processes. When people experiencing poverty help define priorities, policies become more ambitious, realistic and impactful – better aligned with actual needs and more likely to improve lives. Furthermore, these strategies strengthen democratic decision-making and restore trust by ensuring that those most affected are at the centre of policy design.</w:t>
      </w:r>
    </w:p>
    <w:p w14:paraId="4A11D81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299AAEE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Crucially, such strategies challenge the entrenched belief that growth is a precondition for social progress. Evidence shows that the current economic growth model does not reliably reduce poverty and often deepens inequalities.</w:t>
      </w:r>
    </w:p>
    <w:p w14:paraId="2E34027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1C4FA4C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While economic growth remains necessary for low</w:t>
      </w:r>
      <w:r w:rsidRPr="00A939E2">
        <w:rPr>
          <w:rFonts w:ascii="Calibri" w:eastAsia="Times New Roman" w:hAnsi="Calibri" w:cs="Calibri"/>
          <w:color w:val="000000"/>
          <w:kern w:val="0"/>
          <w:sz w:val="26"/>
          <w:szCs w:val="26"/>
          <w:bdr w:val="none" w:sz="0" w:space="0" w:color="auto" w:frame="1"/>
          <w:lang w:val="en-GB" w:eastAsia="es-ES"/>
          <w14:ligatures w14:val="none"/>
        </w:rPr>
        <w:noBreakHyphen/>
        <w:t xml:space="preserve">income </w:t>
      </w:r>
      <w:proofErr w:type="gramStart"/>
      <w:r w:rsidRPr="00A939E2">
        <w:rPr>
          <w:rFonts w:ascii="Calibri" w:eastAsia="Times New Roman" w:hAnsi="Calibri" w:cs="Calibri"/>
          <w:color w:val="000000"/>
          <w:kern w:val="0"/>
          <w:sz w:val="26"/>
          <w:szCs w:val="26"/>
          <w:bdr w:val="none" w:sz="0" w:space="0" w:color="auto" w:frame="1"/>
          <w:lang w:val="en-GB" w:eastAsia="es-ES"/>
          <w14:ligatures w14:val="none"/>
        </w:rPr>
        <w:t>countries in particular, to</w:t>
      </w:r>
      <w:proofErr w:type="gramEnd"/>
      <w:r w:rsidRPr="00A939E2">
        <w:rPr>
          <w:rFonts w:ascii="Calibri" w:eastAsia="Times New Roman" w:hAnsi="Calibri" w:cs="Calibri"/>
          <w:color w:val="000000"/>
          <w:kern w:val="0"/>
          <w:sz w:val="26"/>
          <w:szCs w:val="26"/>
          <w:bdr w:val="none" w:sz="0" w:space="0" w:color="auto" w:frame="1"/>
          <w:lang w:val="en-GB" w:eastAsia="es-ES"/>
          <w14:ligatures w14:val="none"/>
        </w:rPr>
        <w:t xml:space="preserve"> finance infrastructure and improve living standards, it is essential that this growth is carefully shaped so that it does not exacerbate inequalities or drive environmental degradation.</w:t>
      </w:r>
    </w:p>
    <w:p w14:paraId="3671A22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406600D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In contrast, national anti-poverty strategies can provide a governance framework to move beyond this paradigm, reorienting decision-making towards well-being, equality and sustainability</w:t>
      </w:r>
    </w:p>
    <w:p w14:paraId="243C0A8F"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2E6DD57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The “</w:t>
      </w:r>
      <w:hyperlink r:id="rId9"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n-GB" w:eastAsia="es-ES"/>
            <w14:ligatures w14:val="none"/>
          </w:rPr>
          <w:t>Roadmap for Eradicating Poverty Beyond Growth</w:t>
        </w:r>
      </w:hyperlink>
      <w:r w:rsidRPr="00A939E2">
        <w:rPr>
          <w:rFonts w:ascii="Calibri" w:eastAsia="Times New Roman" w:hAnsi="Calibri" w:cs="Calibri"/>
          <w:color w:val="000000"/>
          <w:kern w:val="0"/>
          <w:sz w:val="26"/>
          <w:szCs w:val="26"/>
          <w:bdr w:val="none" w:sz="0" w:space="0" w:color="auto" w:frame="1"/>
          <w:lang w:val="en-GB" w:eastAsia="es-ES"/>
          <w14:ligatures w14:val="none"/>
        </w:rPr>
        <w:t xml:space="preserve">”—the result of an unprecedented collaborative process spanning over 18 months and involving </w:t>
      </w:r>
      <w:r w:rsidRPr="00A939E2">
        <w:rPr>
          <w:rFonts w:ascii="Calibri" w:eastAsia="Times New Roman" w:hAnsi="Calibri" w:cs="Calibri"/>
          <w:color w:val="000000"/>
          <w:kern w:val="0"/>
          <w:sz w:val="26"/>
          <w:szCs w:val="26"/>
          <w:bdr w:val="none" w:sz="0" w:space="0" w:color="auto" w:frame="1"/>
          <w:lang w:val="en-GB" w:eastAsia="es-ES"/>
          <w14:ligatures w14:val="none"/>
        </w:rPr>
        <w:lastRenderedPageBreak/>
        <w:t>more than 400 contributors, including governments, trade unions, civil society organisations, academics, and UN agencies—provides a comprehensive blueprint with concrete policy suggestions. Presented to the Human Rights Council today, the </w:t>
      </w:r>
      <w:hyperlink r:id="rId10"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n-GB" w:eastAsia="es-ES"/>
            <w14:ligatures w14:val="none"/>
          </w:rPr>
          <w:t>Roadmap</w:t>
        </w:r>
      </w:hyperlink>
      <w:r w:rsidRPr="00A939E2">
        <w:rPr>
          <w:rFonts w:ascii="Calibri" w:eastAsia="Times New Roman" w:hAnsi="Calibri" w:cs="Calibri"/>
          <w:color w:val="000000"/>
          <w:kern w:val="0"/>
          <w:sz w:val="26"/>
          <w:szCs w:val="26"/>
          <w:bdr w:val="none" w:sz="0" w:space="0" w:color="auto" w:frame="1"/>
          <w:lang w:val="en-GB" w:eastAsia="es-ES"/>
          <w14:ligatures w14:val="none"/>
        </w:rPr>
        <w:t> explores how poverty and inequality can be addressed in ways that benefit rights-holders without endangering the planet.</w:t>
      </w:r>
    </w:p>
    <w:p w14:paraId="46A3BF1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12E7261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The </w:t>
      </w:r>
      <w:hyperlink r:id="rId11"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n-GB" w:eastAsia="es-ES"/>
            <w14:ligatures w14:val="none"/>
          </w:rPr>
          <w:t>Roadmap</w:t>
        </w:r>
      </w:hyperlink>
      <w:r w:rsidRPr="00A939E2">
        <w:rPr>
          <w:rFonts w:ascii="Calibri" w:eastAsia="Times New Roman" w:hAnsi="Calibri" w:cs="Calibri"/>
          <w:color w:val="000000"/>
          <w:kern w:val="0"/>
          <w:sz w:val="26"/>
          <w:szCs w:val="26"/>
          <w:bdr w:val="none" w:sz="0" w:space="0" w:color="auto" w:frame="1"/>
          <w:lang w:val="en-GB" w:eastAsia="es-ES"/>
          <w14:ligatures w14:val="none"/>
        </w:rPr>
        <w:t> expands the policy toolbox beyond the traditional “grow-tax-transfer” model, integrating redistribution with in-market reforms and pre-market social investment, and offering practical measures to build economies that prioritise human rights and meet essential needs within planetary boundaries. It sees the redefinition of international economic relations – including debt justice and increased international financing for social protection – as a condition for developing countries, and low-income countries in particular, to shift to growth patterns that are less extractive and less exploitative.</w:t>
      </w:r>
    </w:p>
    <w:p w14:paraId="48ADB59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4B1C759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“Poverty is not inevitable – it is the product of policy choices. Ending it requires democratic participation, political courage and a redefinition of progress itself. We have no other choice but to reconsider the economic and financial models we use. They are increasing inequalities and driving the triple planetary crisis of climate change, biodiversity loss and pollution,” the experts said.</w:t>
      </w:r>
    </w:p>
    <w:p w14:paraId="1DD8E95F"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257D931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“The </w:t>
      </w:r>
      <w:hyperlink r:id="rId12"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n-GB" w:eastAsia="es-ES"/>
            <w14:ligatures w14:val="none"/>
          </w:rPr>
          <w:t>Roadmap</w:t>
        </w:r>
      </w:hyperlink>
      <w:r w:rsidRPr="00A939E2">
        <w:rPr>
          <w:rFonts w:ascii="Calibri" w:eastAsia="Times New Roman" w:hAnsi="Calibri" w:cs="Calibri"/>
          <w:color w:val="000000"/>
          <w:kern w:val="0"/>
          <w:sz w:val="26"/>
          <w:szCs w:val="26"/>
          <w:bdr w:val="none" w:sz="0" w:space="0" w:color="auto" w:frame="1"/>
          <w:lang w:val="en-GB" w:eastAsia="es-ES"/>
          <w14:ligatures w14:val="none"/>
        </w:rPr>
        <w:t> offers a clear path forward: one that puts people – not GDP – at the centre of development and the fight against poverty.”</w:t>
      </w:r>
    </w:p>
    <w:p w14:paraId="5D81A2D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514FF94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ENDS</w:t>
      </w:r>
    </w:p>
    <w:p w14:paraId="0419F77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n-GB" w:eastAsia="es-ES"/>
          <w14:ligatures w14:val="none"/>
        </w:rPr>
        <w:t> </w:t>
      </w:r>
    </w:p>
    <w:p w14:paraId="7337B40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bdr w:val="none" w:sz="0" w:space="0" w:color="auto" w:frame="1"/>
          <w:lang w:val="en-GB" w:eastAsia="es-ES"/>
          <w14:ligatures w14:val="none"/>
        </w:rPr>
        <w:t>Elena Carolina Díaz Galán</w:t>
      </w:r>
      <w:r w:rsidRPr="00A939E2">
        <w:rPr>
          <w:rFonts w:ascii="Calibri" w:eastAsia="Times New Roman" w:hAnsi="Calibri" w:cs="Calibri"/>
          <w:i/>
          <w:iCs/>
          <w:color w:val="000000"/>
          <w:kern w:val="0"/>
          <w:bdr w:val="none" w:sz="0" w:space="0" w:color="auto" w:frame="1"/>
          <w:lang w:val="en-GB" w:eastAsia="es-ES"/>
          <w14:ligatures w14:val="none"/>
        </w:rPr>
        <w:t> is the </w:t>
      </w:r>
      <w:hyperlink r:id="rId13" w:tgtFrame="_blank" w:tooltip="http://www.ohchr.org/en/special-procedures/sr-poverty" w:history="1">
        <w:r w:rsidRPr="00A939E2">
          <w:rPr>
            <w:rFonts w:ascii="Calibri" w:eastAsia="Times New Roman" w:hAnsi="Calibri" w:cs="Calibri"/>
            <w:i/>
            <w:iCs/>
            <w:color w:val="0000FF"/>
            <w:kern w:val="0"/>
            <w:u w:val="single"/>
            <w:bdr w:val="none" w:sz="0" w:space="0" w:color="auto" w:frame="1"/>
            <w:lang w:val="en-GB" w:eastAsia="es-ES"/>
            <w14:ligatures w14:val="none"/>
          </w:rPr>
          <w:t>Special Rapporteur on extreme poverty and human rights</w:t>
        </w:r>
      </w:hyperlink>
      <w:r w:rsidRPr="00A939E2">
        <w:rPr>
          <w:rFonts w:ascii="Calibri" w:eastAsia="Times New Roman" w:hAnsi="Calibri" w:cs="Calibri"/>
          <w:i/>
          <w:iCs/>
          <w:color w:val="000000"/>
          <w:kern w:val="0"/>
          <w:bdr w:val="none" w:sz="0" w:space="0" w:color="auto" w:frame="1"/>
          <w:lang w:val="en-GB" w:eastAsia="es-ES"/>
          <w14:ligatures w14:val="none"/>
        </w:rPr>
        <w:t> since 1 May 2026.</w:t>
      </w:r>
    </w:p>
    <w:p w14:paraId="3B022691"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5C8E612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Special Rapporteurs/Independent Experts/Working Groups are independent human rights experts appointed by the United Nations Human Rights Council. Together, these experts are referred to as the </w:t>
      </w:r>
      <w:hyperlink r:id="rId14" w:tgtFrame="_blank" w:tooltip="https://www.ohchr.org/en/special-procedures-human-rights-council" w:history="1">
        <w:r w:rsidRPr="00A939E2">
          <w:rPr>
            <w:rFonts w:ascii="Calibri" w:eastAsia="Times New Roman" w:hAnsi="Calibri" w:cs="Calibri"/>
            <w:i/>
            <w:iCs/>
            <w:color w:val="0000FF"/>
            <w:kern w:val="0"/>
            <w:u w:val="single"/>
            <w:bdr w:val="none" w:sz="0" w:space="0" w:color="auto" w:frame="1"/>
            <w:lang w:val="en-GB" w:eastAsia="es-ES"/>
            <w14:ligatures w14:val="none"/>
          </w:rPr>
          <w:t>Special Procedures</w:t>
        </w:r>
      </w:hyperlink>
      <w:r w:rsidRPr="00A939E2">
        <w:rPr>
          <w:rFonts w:ascii="Calibri" w:eastAsia="Times New Roman" w:hAnsi="Calibri" w:cs="Calibri"/>
          <w:i/>
          <w:iCs/>
          <w:color w:val="000000"/>
          <w:kern w:val="0"/>
          <w:bdr w:val="none" w:sz="0" w:space="0" w:color="auto" w:frame="1"/>
          <w:lang w:val="en-GB" w:eastAsia="es-ES"/>
          <w14:ligatures w14:val="none"/>
        </w:rPr>
        <w:t> of the Human Rights Council. Special Procedures experts work on a voluntary basis; they are not UN staff and do not receive a salary for their work. While the UN Human Rights office acts as the secretariat for Special Procedures, the experts serve in their individual capacity and are independent from any government or organisation, including OHCHR and the UN. Any views or opinions presented are solely those of the author and do not necessarily represent those of the UN or OHCHR.</w:t>
      </w:r>
    </w:p>
    <w:p w14:paraId="5D3275F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en-GB"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73E3E87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Country-specific observations and recommendations by the UN human rights mechanisms, including the special procedures, the treaty bodies and the Universal Periodic Review, can be found on the Universal Human Rights Index </w:t>
      </w:r>
      <w:hyperlink r:id="rId15" w:tgtFrame="_blank" w:tooltip="https://uhri.ohchr.org/en/" w:history="1">
        <w:r w:rsidRPr="00A939E2">
          <w:rPr>
            <w:rFonts w:ascii="Calibri" w:eastAsia="Times New Roman" w:hAnsi="Calibri" w:cs="Calibri"/>
            <w:i/>
            <w:iCs/>
            <w:color w:val="0000FF"/>
            <w:kern w:val="0"/>
            <w:u w:val="single"/>
            <w:bdr w:val="none" w:sz="0" w:space="0" w:color="auto" w:frame="1"/>
            <w:lang w:val="en-GB" w:eastAsia="es-ES"/>
            <w14:ligatures w14:val="none"/>
          </w:rPr>
          <w:t>https://uhri.ohchr.org/en/</w:t>
        </w:r>
      </w:hyperlink>
    </w:p>
    <w:p w14:paraId="095AA48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7566B3F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For inquiries and media requests, please contact: </w:t>
      </w:r>
      <w:hyperlink r:id="rId16" w:tooltip="mailto:hrc-sr-extremepoverty@un.org" w:history="1">
        <w:r w:rsidRPr="00A939E2">
          <w:rPr>
            <w:rFonts w:ascii="Calibri" w:eastAsia="Times New Roman" w:hAnsi="Calibri" w:cs="Calibri"/>
            <w:i/>
            <w:iCs/>
            <w:color w:val="0000FF"/>
            <w:kern w:val="0"/>
            <w:u w:val="single"/>
            <w:bdr w:val="none" w:sz="0" w:space="0" w:color="auto" w:frame="1"/>
            <w:lang w:val="en-GB" w:eastAsia="es-ES"/>
            <w14:ligatures w14:val="none"/>
          </w:rPr>
          <w:t>hrc-sr-extremepoverty@un.org</w:t>
        </w:r>
      </w:hyperlink>
    </w:p>
    <w:p w14:paraId="001324A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7971384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For media inquiries related to other UN independent experts please contact Maya Derouaz (</w:t>
      </w:r>
      <w:hyperlink r:id="rId17" w:tooltip="mailto:maya.derouaz@un.org" w:history="1">
        <w:r w:rsidRPr="00A939E2">
          <w:rPr>
            <w:rFonts w:ascii="Calibri" w:eastAsia="Times New Roman" w:hAnsi="Calibri" w:cs="Calibri"/>
            <w:i/>
            <w:iCs/>
            <w:color w:val="0000FF"/>
            <w:kern w:val="0"/>
            <w:u w:val="single"/>
            <w:bdr w:val="none" w:sz="0" w:space="0" w:color="auto" w:frame="1"/>
            <w:lang w:val="en-GB" w:eastAsia="es-ES"/>
            <w14:ligatures w14:val="none"/>
          </w:rPr>
          <w:t>maya.derouaz@un.org</w:t>
        </w:r>
      </w:hyperlink>
      <w:r w:rsidRPr="00A939E2">
        <w:rPr>
          <w:rFonts w:ascii="Calibri" w:eastAsia="Times New Roman" w:hAnsi="Calibri" w:cs="Calibri"/>
          <w:i/>
          <w:iCs/>
          <w:color w:val="000000"/>
          <w:kern w:val="0"/>
          <w:bdr w:val="none" w:sz="0" w:space="0" w:color="auto" w:frame="1"/>
          <w:lang w:val="en-GB" w:eastAsia="es-ES"/>
          <w14:ligatures w14:val="none"/>
        </w:rPr>
        <w:t xml:space="preserve">) or </w:t>
      </w:r>
      <w:proofErr w:type="spellStart"/>
      <w:r w:rsidRPr="00A939E2">
        <w:rPr>
          <w:rFonts w:ascii="Calibri" w:eastAsia="Times New Roman" w:hAnsi="Calibri" w:cs="Calibri"/>
          <w:i/>
          <w:iCs/>
          <w:color w:val="000000"/>
          <w:kern w:val="0"/>
          <w:bdr w:val="none" w:sz="0" w:space="0" w:color="auto" w:frame="1"/>
          <w:lang w:val="en-GB" w:eastAsia="es-ES"/>
          <w14:ligatures w14:val="none"/>
        </w:rPr>
        <w:t>Dharisha</w:t>
      </w:r>
      <w:proofErr w:type="spellEnd"/>
      <w:r w:rsidRPr="00A939E2">
        <w:rPr>
          <w:rFonts w:ascii="Calibri" w:eastAsia="Times New Roman" w:hAnsi="Calibri" w:cs="Calibri"/>
          <w:i/>
          <w:iCs/>
          <w:color w:val="000000"/>
          <w:kern w:val="0"/>
          <w:bdr w:val="none" w:sz="0" w:space="0" w:color="auto" w:frame="1"/>
          <w:lang w:val="en-GB" w:eastAsia="es-ES"/>
          <w14:ligatures w14:val="none"/>
        </w:rPr>
        <w:t xml:space="preserve"> </w:t>
      </w:r>
      <w:proofErr w:type="spellStart"/>
      <w:r w:rsidRPr="00A939E2">
        <w:rPr>
          <w:rFonts w:ascii="Calibri" w:eastAsia="Times New Roman" w:hAnsi="Calibri" w:cs="Calibri"/>
          <w:i/>
          <w:iCs/>
          <w:color w:val="000000"/>
          <w:kern w:val="0"/>
          <w:bdr w:val="none" w:sz="0" w:space="0" w:color="auto" w:frame="1"/>
          <w:lang w:val="en-GB" w:eastAsia="es-ES"/>
          <w14:ligatures w14:val="none"/>
        </w:rPr>
        <w:t>Indraguptha</w:t>
      </w:r>
      <w:proofErr w:type="spellEnd"/>
      <w:r w:rsidRPr="00A939E2">
        <w:rPr>
          <w:rFonts w:ascii="Calibri" w:eastAsia="Times New Roman" w:hAnsi="Calibri" w:cs="Calibri"/>
          <w:i/>
          <w:iCs/>
          <w:color w:val="000000"/>
          <w:kern w:val="0"/>
          <w:bdr w:val="none" w:sz="0" w:space="0" w:color="auto" w:frame="1"/>
          <w:lang w:val="en-GB" w:eastAsia="es-ES"/>
          <w14:ligatures w14:val="none"/>
        </w:rPr>
        <w:t xml:space="preserve"> (</w:t>
      </w:r>
      <w:hyperlink r:id="rId18" w:tooltip="mailto:dharisha.indraguptha@un.org" w:history="1">
        <w:r w:rsidRPr="00A939E2">
          <w:rPr>
            <w:rFonts w:ascii="Calibri" w:eastAsia="Times New Roman" w:hAnsi="Calibri" w:cs="Calibri"/>
            <w:i/>
            <w:iCs/>
            <w:color w:val="0000FF"/>
            <w:kern w:val="0"/>
            <w:u w:val="single"/>
            <w:bdr w:val="none" w:sz="0" w:space="0" w:color="auto" w:frame="1"/>
            <w:lang w:val="en-GB" w:eastAsia="es-ES"/>
            <w14:ligatures w14:val="none"/>
          </w:rPr>
          <w:t>dharisha.indraguptha@un.org</w:t>
        </w:r>
      </w:hyperlink>
      <w:r w:rsidRPr="00A939E2">
        <w:rPr>
          <w:rFonts w:ascii="Calibri" w:eastAsia="Times New Roman" w:hAnsi="Calibri" w:cs="Calibri"/>
          <w:i/>
          <w:iCs/>
          <w:color w:val="000000"/>
          <w:kern w:val="0"/>
          <w:bdr w:val="none" w:sz="0" w:space="0" w:color="auto" w:frame="1"/>
          <w:lang w:val="en-GB" w:eastAsia="es-ES"/>
          <w14:ligatures w14:val="none"/>
        </w:rPr>
        <w:t>)  </w:t>
      </w:r>
    </w:p>
    <w:p w14:paraId="078935C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35E0816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lastRenderedPageBreak/>
        <w:t>Follow news related to the UN’s independent human rights experts on X: </w:t>
      </w:r>
      <w:hyperlink r:id="rId19" w:tgtFrame="_blank" w:tooltip="Dirección URL original: https://twitter.com/UN_SPExperts. Haga clic o pulse si confía en este vínculo." w:history="1">
        <w:r w:rsidRPr="00A939E2">
          <w:rPr>
            <w:rFonts w:ascii="Calibri" w:eastAsia="Times New Roman" w:hAnsi="Calibri" w:cs="Calibri"/>
            <w:i/>
            <w:iCs/>
            <w:color w:val="0000FF"/>
            <w:kern w:val="0"/>
            <w:u w:val="single"/>
            <w:bdr w:val="none" w:sz="0" w:space="0" w:color="auto" w:frame="1"/>
            <w:lang w:val="en-GB" w:eastAsia="es-ES"/>
            <w14:ligatures w14:val="none"/>
          </w:rPr>
          <w:t>@UN_SPExperts</w:t>
        </w:r>
      </w:hyperlink>
      <w:r w:rsidRPr="00A939E2">
        <w:rPr>
          <w:rFonts w:ascii="Calibri" w:eastAsia="Times New Roman" w:hAnsi="Calibri" w:cs="Calibri"/>
          <w:i/>
          <w:iCs/>
          <w:color w:val="000000"/>
          <w:kern w:val="0"/>
          <w:bdr w:val="none" w:sz="0" w:space="0" w:color="auto" w:frame="1"/>
          <w:lang w:val="en-GB" w:eastAsia="es-ES"/>
          <w14:ligatures w14:val="none"/>
        </w:rPr>
        <w:t>.</w:t>
      </w:r>
    </w:p>
    <w:p w14:paraId="00D07D0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en-GB" w:eastAsia="es-ES"/>
          <w14:ligatures w14:val="none"/>
        </w:rPr>
        <w:t> </w:t>
      </w:r>
    </w:p>
    <w:p w14:paraId="595807C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val="fr-FR" w:eastAsia="es-ES"/>
          <w14:ligatures w14:val="none"/>
        </w:rPr>
        <w:t>_______________________________</w:t>
      </w:r>
      <w:r w:rsidRPr="00A939E2">
        <w:rPr>
          <w:rFonts w:ascii="Calibri" w:eastAsia="Times New Roman" w:hAnsi="Calibri" w:cs="Calibri"/>
          <w:i/>
          <w:iCs/>
          <w:color w:val="000000"/>
          <w:kern w:val="0"/>
          <w:sz w:val="26"/>
          <w:szCs w:val="26"/>
          <w:u w:val="single"/>
          <w:bdr w:val="none" w:sz="0" w:space="0" w:color="auto" w:frame="1"/>
          <w:lang w:val="fr-FR" w:eastAsia="es-ES"/>
          <w14:ligatures w14:val="none"/>
        </w:rPr>
        <w:br/>
      </w:r>
    </w:p>
    <w:p w14:paraId="212FE9B1"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color w:val="000000"/>
          <w:kern w:val="0"/>
          <w:bdr w:val="none" w:sz="0" w:space="0" w:color="auto" w:frame="1"/>
          <w:lang w:val="fr-FR" w:eastAsia="es-ES"/>
          <w14:ligatures w14:val="none"/>
        </w:rPr>
        <w:t>La version en espagnol se trouve ci-dessous</w:t>
      </w:r>
    </w:p>
    <w:p w14:paraId="4624DC4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sz w:val="26"/>
          <w:szCs w:val="26"/>
          <w:bdr w:val="none" w:sz="0" w:space="0" w:color="auto" w:frame="1"/>
          <w:lang w:val="fr-CA" w:eastAsia="es-ES"/>
          <w14:ligatures w14:val="none"/>
        </w:rPr>
        <w:t> </w:t>
      </w:r>
    </w:p>
    <w:p w14:paraId="0F246E3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color w:val="000000"/>
          <w:kern w:val="0"/>
          <w:sz w:val="28"/>
          <w:szCs w:val="28"/>
          <w:bdr w:val="none" w:sz="0" w:space="0" w:color="auto" w:frame="1"/>
          <w:lang w:val="fr-CA" w:eastAsia="es-ES"/>
          <w14:ligatures w14:val="none"/>
        </w:rPr>
        <w:t>Repenser le progrès : une experte de l’ONU appelle à lutter contre la pauvreté au</w:t>
      </w:r>
      <w:r w:rsidRPr="00A939E2">
        <w:rPr>
          <w:rFonts w:ascii="Calibri" w:eastAsia="Times New Roman" w:hAnsi="Calibri" w:cs="Calibri"/>
          <w:b/>
          <w:bCs/>
          <w:color w:val="000000"/>
          <w:kern w:val="0"/>
          <w:sz w:val="28"/>
          <w:szCs w:val="28"/>
          <w:bdr w:val="none" w:sz="0" w:space="0" w:color="auto" w:frame="1"/>
          <w:lang w:val="fr-CA" w:eastAsia="es-ES"/>
          <w14:ligatures w14:val="none"/>
        </w:rPr>
        <w:noBreakHyphen/>
        <w:t>delà de la croissance et à étendre la protection sociale</w:t>
      </w:r>
    </w:p>
    <w:p w14:paraId="03A5BBB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val="fr-CA" w:eastAsia="es-ES"/>
          <w14:ligatures w14:val="none"/>
        </w:rPr>
        <w:t> </w:t>
      </w:r>
    </w:p>
    <w:p w14:paraId="081FB6C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GENÈVE (25 juin 2026) – Il doit y avoir un changement fondamental dans les stratégies mondiales de lutte contre la pauvreté, en dépassant l’idée selon laquelle la « croissance » économique est la seule voie permettant d’éradiquer la pauvreté, a déclaré aujourd’hui la Rapporteuse spéciale sur l’extrême pauvreté et les droits humains, Elena Díaz Galán, en présentant au Conseil des droits de l’homme </w:t>
      </w:r>
      <w:hyperlink r:id="rId20" w:tgtFrame="_blank" w:tooltip="https://www.ohchr.org/en/documents/thematic-reports/ahrc6242add2-roadmap-eradicating-poverty-beyond-growth-report-special" w:history="1">
        <w:r w:rsidRPr="00A939E2">
          <w:rPr>
            <w:rFonts w:ascii="Calibri" w:eastAsia="Times New Roman" w:hAnsi="Calibri" w:cs="Calibri"/>
            <w:b/>
            <w:bCs/>
            <w:color w:val="0000FF"/>
            <w:kern w:val="0"/>
            <w:sz w:val="26"/>
            <w:szCs w:val="26"/>
            <w:u w:val="single"/>
            <w:bdr w:val="none" w:sz="0" w:space="0" w:color="auto" w:frame="1"/>
            <w:lang w:val="fr-CA" w:eastAsia="es-ES"/>
            <w14:ligatures w14:val="none"/>
          </w:rPr>
          <w:t>la Feuille de route pour l’éradication de la pauvreté au-delà de la croissance</w:t>
        </w:r>
      </w:hyperlink>
      <w:r w:rsidRPr="00A939E2">
        <w:rPr>
          <w:rFonts w:ascii="Calibri" w:eastAsia="Times New Roman" w:hAnsi="Calibri" w:cs="Calibri"/>
          <w:color w:val="000000"/>
          <w:kern w:val="0"/>
          <w:sz w:val="26"/>
          <w:szCs w:val="26"/>
          <w:bdr w:val="none" w:sz="0" w:space="0" w:color="auto" w:frame="1"/>
          <w:lang w:val="fr-CA" w:eastAsia="es-ES"/>
          <w14:ligatures w14:val="none"/>
        </w:rPr>
        <w:t>.</w:t>
      </w:r>
    </w:p>
    <w:p w14:paraId="43B47CF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7E2BB752"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Ce qui importe aux personnes vivant dans la pauvreté n’est pas une expansion économique abstraite, mais de réelles améliorations de leurs conditions de vie. La pauvreté est multidimensionnelle et vécue au quotidien ; elle ne peut être réduite à une question de revenu ni résolue par la seule croissance », a déclaré Díaz Galán.</w:t>
      </w:r>
    </w:p>
    <w:p w14:paraId="6E24B49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1130924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Le </w:t>
      </w:r>
      <w:hyperlink r:id="rId21" w:tgtFrame="_blank" w:tooltip="https://www.ohchr.org/fr/documents/thematic-reports/ahrc6242-manufacturing-poverty-report-special-rapporteur-extreme-poverty" w:history="1">
        <w:r w:rsidRPr="00A939E2">
          <w:rPr>
            <w:rFonts w:ascii="Calibri" w:eastAsia="Times New Roman" w:hAnsi="Calibri" w:cs="Calibri"/>
            <w:b/>
            <w:bCs/>
            <w:color w:val="0000FF"/>
            <w:kern w:val="0"/>
            <w:sz w:val="26"/>
            <w:szCs w:val="26"/>
            <w:u w:val="single"/>
            <w:bdr w:val="none" w:sz="0" w:space="0" w:color="auto" w:frame="1"/>
            <w:lang w:val="fr-CA" w:eastAsia="es-ES"/>
            <w14:ligatures w14:val="none"/>
          </w:rPr>
          <w:t>rapport</w:t>
        </w:r>
      </w:hyperlink>
      <w:r w:rsidRPr="00A939E2">
        <w:rPr>
          <w:rFonts w:ascii="Calibri" w:eastAsia="Times New Roman" w:hAnsi="Calibri" w:cs="Calibri"/>
          <w:color w:val="000000"/>
          <w:kern w:val="0"/>
          <w:sz w:val="26"/>
          <w:szCs w:val="26"/>
          <w:bdr w:val="none" w:sz="0" w:space="0" w:color="auto" w:frame="1"/>
          <w:lang w:val="fr-CA" w:eastAsia="es-ES"/>
          <w14:ligatures w14:val="none"/>
        </w:rPr>
        <w:t> et la </w:t>
      </w:r>
      <w:hyperlink r:id="rId22"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fr-CA" w:eastAsia="es-ES"/>
            <w14:ligatures w14:val="none"/>
          </w:rPr>
          <w:t>Feuille de route</w:t>
        </w:r>
      </w:hyperlink>
      <w:r w:rsidRPr="00A939E2">
        <w:rPr>
          <w:rFonts w:ascii="Calibri" w:eastAsia="Times New Roman" w:hAnsi="Calibri" w:cs="Calibri"/>
          <w:color w:val="000000"/>
          <w:kern w:val="0"/>
          <w:sz w:val="26"/>
          <w:szCs w:val="26"/>
          <w:bdr w:val="none" w:sz="0" w:space="0" w:color="auto" w:frame="1"/>
          <w:lang w:val="fr-CA" w:eastAsia="es-ES"/>
          <w14:ligatures w14:val="none"/>
        </w:rPr>
        <w:t>, préparés par l’ancien Rapporteur spécial sur l’extrême pauvreté et les droits humains, Olivier De Schutter, mettent en lumière le potentiel transformateur des stratégies nationales de lutte contre la pauvreté élaborées au moyen de processus véritablement participatifs. Lorsque les personnes en situation de pauvreté contribuent à définir les priorités, les politiques deviennent plus ambitieuses, plus réalistes et plus efficaces : elles répondent mieux aux besoins réels et sont davantage susceptibles d’améliorer les conditions de vie. En outre, ces stratégies renforcent la prise de décision démocratique et restaurent la confiance en plaçant les personnes les plus concernées au cœur de la conception des politiques publiques.</w:t>
      </w:r>
    </w:p>
    <w:p w14:paraId="0F68285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29DFC807"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Plus fondamentalement, ces stratégies remettent en cause la croyance profondément ancrée selon laquelle la croissance économique est une condition préalable au progrès social. Les données montrent que le modèle actuel de croissance économique ne réduit pas systématiquement la pauvreté et contribue souvent à accentuer les inégalités.</w:t>
      </w:r>
    </w:p>
    <w:p w14:paraId="0909802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4C85EFD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Si la croissance économique demeure nécessaire, en particulier dans les pays à faible revenu, afin de financer les infrastructures et d’améliorer le niveau de vie, il est essentiel qu’elle soit soigneusement orientée afin de ne pas aggraver les inégalités ni accélérer la dégradation de l’environnement.</w:t>
      </w:r>
    </w:p>
    <w:p w14:paraId="494F1A9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lastRenderedPageBreak/>
        <w:t> </w:t>
      </w:r>
    </w:p>
    <w:p w14:paraId="7ABC0CF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À l’inverse, les stratégies nationales de lutte contre la pauvreté peuvent fournir un cadre de gouvernance permettant de dépasser ce paradigme, en réorientant les décisions vers le bien-être, l’égalité et la durabilité.</w:t>
      </w:r>
    </w:p>
    <w:p w14:paraId="1B4B229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2C7B159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La « </w:t>
      </w:r>
      <w:hyperlink r:id="rId23"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fr-CA" w:eastAsia="es-ES"/>
            <w14:ligatures w14:val="none"/>
          </w:rPr>
          <w:t>Feuille de route pour l’éradication de la pauvreté au-delà de la croissance</w:t>
        </w:r>
      </w:hyperlink>
      <w:r w:rsidRPr="00A939E2">
        <w:rPr>
          <w:rFonts w:ascii="Calibri" w:eastAsia="Times New Roman" w:hAnsi="Calibri" w:cs="Calibri"/>
          <w:color w:val="000000"/>
          <w:kern w:val="0"/>
          <w:sz w:val="26"/>
          <w:szCs w:val="26"/>
          <w:bdr w:val="none" w:sz="0" w:space="0" w:color="auto" w:frame="1"/>
          <w:lang w:val="fr-CA" w:eastAsia="es-ES"/>
          <w14:ligatures w14:val="none"/>
        </w:rPr>
        <w:t> », fruit d’un processus collaboratif sans précédent ayant duré plus de 18 mois et mobilisé plus de 400 contributeurs, notamment des gouvernements, syndicats, organisations de la société civile, universitaires et agences des Nations Unies — constitue un plan d’action complet assorti de propositions politiques concrètes. Présentée aujourd’hui au Conseil des droits de l’homme, la </w:t>
      </w:r>
      <w:hyperlink r:id="rId24"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fr-CA" w:eastAsia="es-ES"/>
            <w14:ligatures w14:val="none"/>
          </w:rPr>
          <w:t>Feuille de route</w:t>
        </w:r>
      </w:hyperlink>
      <w:r w:rsidRPr="00A939E2">
        <w:rPr>
          <w:rFonts w:ascii="Calibri" w:eastAsia="Times New Roman" w:hAnsi="Calibri" w:cs="Calibri"/>
          <w:color w:val="000000"/>
          <w:kern w:val="0"/>
          <w:sz w:val="26"/>
          <w:szCs w:val="26"/>
          <w:bdr w:val="none" w:sz="0" w:space="0" w:color="auto" w:frame="1"/>
          <w:lang w:val="fr-CA" w:eastAsia="es-ES"/>
          <w14:ligatures w14:val="none"/>
        </w:rPr>
        <w:t> examine comment lutter contre la pauvreté et les inégalités d’une manière bénéfique aux titulaires de droits sans mettre la planète en danger.</w:t>
      </w:r>
    </w:p>
    <w:p w14:paraId="08F7D25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264D2BF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La </w:t>
      </w:r>
      <w:hyperlink r:id="rId25"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fr-CA" w:eastAsia="es-ES"/>
            <w14:ligatures w14:val="none"/>
          </w:rPr>
          <w:t>Feuille de route</w:t>
        </w:r>
      </w:hyperlink>
      <w:r w:rsidRPr="00A939E2">
        <w:rPr>
          <w:rFonts w:ascii="Calibri" w:eastAsia="Times New Roman" w:hAnsi="Calibri" w:cs="Calibri"/>
          <w:color w:val="000000"/>
          <w:kern w:val="0"/>
          <w:sz w:val="26"/>
          <w:szCs w:val="26"/>
          <w:bdr w:val="none" w:sz="0" w:space="0" w:color="auto" w:frame="1"/>
          <w:lang w:val="fr-CA" w:eastAsia="es-ES"/>
          <w14:ligatures w14:val="none"/>
        </w:rPr>
        <w:t> élargit la boîte à outils politique au-delà du modèle traditionnel « croissance–fiscalité–transferts », en intégrant la redistribution aux réformes de marché et à l'investissement social pré-marché, et en proposant des mesures pratiques pour construire des économies qui privilégient les droits de l'homme et répondent aux besoins essentiels dans les limites planétaires. Elle considère également que la redéfinition des relations économiques internationales — notamment à travers une plus grande justice en matière de dette et un financement international accru de la protection sociale — est une condition nécessaire pour permettre aux pays en développement, et en particulier aux pays à faible revenu, d’adopter des modèles de croissance moins extractifs et moins exploitants.</w:t>
      </w:r>
    </w:p>
    <w:p w14:paraId="799BC2A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67881F91"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La pauvreté n’est pas inévitable : elle résulte de choix politiques. Y mettre fin exige une participation démocratique, du courage politique et une redéfinition du progrès lui-même. Nous n’avons d’autre choix que de reconsidérer les modèles économiques et financiers que nous utilisons. Ils accentuent les inégalités et alimentent la triple crise planétaire que sont le changement climatique, la perte de biodiversité et la pollution » ont déclaré les experts.</w:t>
      </w:r>
    </w:p>
    <w:p w14:paraId="6C2FEAD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fr-CA"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0551534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La </w:t>
      </w:r>
      <w:hyperlink r:id="rId26"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fr-CA" w:eastAsia="es-ES"/>
            <w14:ligatures w14:val="none"/>
          </w:rPr>
          <w:t>Feuille de route</w:t>
        </w:r>
      </w:hyperlink>
      <w:r w:rsidRPr="00A939E2">
        <w:rPr>
          <w:rFonts w:ascii="Calibri" w:eastAsia="Times New Roman" w:hAnsi="Calibri" w:cs="Calibri"/>
          <w:color w:val="000000"/>
          <w:kern w:val="0"/>
          <w:sz w:val="26"/>
          <w:szCs w:val="26"/>
          <w:bdr w:val="none" w:sz="0" w:space="0" w:color="auto" w:frame="1"/>
          <w:lang w:val="fr-CA" w:eastAsia="es-ES"/>
          <w14:ligatures w14:val="none"/>
        </w:rPr>
        <w:t> offre une voie claire pour l’avenir : une voie qui place les personnes — et non le PIB — au centre du développement et de la lutte contre la pauvreté. »</w:t>
      </w:r>
    </w:p>
    <w:p w14:paraId="1BF3EF4F"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CA" w:eastAsia="es-ES"/>
          <w14:ligatures w14:val="none"/>
        </w:rPr>
        <w:t> </w:t>
      </w:r>
    </w:p>
    <w:p w14:paraId="7830657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fr-FR" w:eastAsia="es-ES"/>
          <w14:ligatures w14:val="none"/>
        </w:rPr>
        <w:t>FIN</w:t>
      </w:r>
    </w:p>
    <w:p w14:paraId="73B26AA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sz w:val="26"/>
          <w:szCs w:val="26"/>
          <w:bdr w:val="none" w:sz="0" w:space="0" w:color="auto" w:frame="1"/>
          <w:lang w:val="fr-FR" w:eastAsia="es-ES"/>
          <w14:ligatures w14:val="none"/>
        </w:rPr>
        <w:t> </w:t>
      </w:r>
    </w:p>
    <w:p w14:paraId="1EB2D82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bdr w:val="none" w:sz="0" w:space="0" w:color="auto" w:frame="1"/>
          <w:lang w:val="fr-FR" w:eastAsia="es-ES"/>
          <w14:ligatures w14:val="none"/>
        </w:rPr>
        <w:t>Elena Carolina Díaz Galán</w:t>
      </w:r>
      <w:r w:rsidRPr="00A939E2">
        <w:rPr>
          <w:rFonts w:ascii="Calibri" w:eastAsia="Times New Roman" w:hAnsi="Calibri" w:cs="Calibri"/>
          <w:i/>
          <w:iCs/>
          <w:color w:val="000000"/>
          <w:kern w:val="0"/>
          <w:bdr w:val="none" w:sz="0" w:space="0" w:color="auto" w:frame="1"/>
          <w:lang w:val="fr-FR" w:eastAsia="es-ES"/>
          <w14:ligatures w14:val="none"/>
        </w:rPr>
        <w:t> est la  </w:t>
      </w:r>
      <w:hyperlink r:id="rId27" w:tgtFrame="_blank" w:tooltip="http://www.ohchr.org/fr/special-procedures/sr-poverty" w:history="1">
        <w:r w:rsidRPr="00A939E2">
          <w:rPr>
            <w:rFonts w:ascii="Calibri" w:eastAsia="Times New Roman" w:hAnsi="Calibri" w:cs="Calibri"/>
            <w:i/>
            <w:iCs/>
            <w:color w:val="0000FF"/>
            <w:kern w:val="0"/>
            <w:u w:val="single"/>
            <w:bdr w:val="none" w:sz="0" w:space="0" w:color="auto" w:frame="1"/>
            <w:lang w:val="fr-FR" w:eastAsia="es-ES"/>
            <w14:ligatures w14:val="none"/>
          </w:rPr>
          <w:t>Rapporteuse spéciale sur l’extrême pauvreté et les droits de l’homme</w:t>
        </w:r>
      </w:hyperlink>
      <w:r w:rsidRPr="00A939E2">
        <w:rPr>
          <w:rFonts w:ascii="Calibri" w:eastAsia="Times New Roman" w:hAnsi="Calibri" w:cs="Calibri"/>
          <w:i/>
          <w:iCs/>
          <w:color w:val="000000"/>
          <w:kern w:val="0"/>
          <w:bdr w:val="none" w:sz="0" w:space="0" w:color="auto" w:frame="1"/>
          <w:lang w:val="fr-FR" w:eastAsia="es-ES"/>
          <w14:ligatures w14:val="none"/>
        </w:rPr>
        <w:t> depuis le 1er mai 2026.</w:t>
      </w:r>
    </w:p>
    <w:p w14:paraId="4E1ADBE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77742727"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Les rapporteurs spéciaux/experts indépendants/groupes de travail sont des experts indépendants des droits de l'homme nommés par le Conseil des droits de l'homme des Nations unies. Ensemble, ces experts sont désignés comme les </w:t>
      </w:r>
      <w:hyperlink r:id="rId28" w:tgtFrame="_blank" w:tooltip="https://www.ohchr.org/fr/special-procedures-human-rights-council" w:history="1">
        <w:r w:rsidRPr="00A939E2">
          <w:rPr>
            <w:rFonts w:ascii="Calibri" w:eastAsia="Times New Roman" w:hAnsi="Calibri" w:cs="Calibri"/>
            <w:i/>
            <w:iCs/>
            <w:color w:val="0000FF"/>
            <w:kern w:val="0"/>
            <w:u w:val="single"/>
            <w:bdr w:val="none" w:sz="0" w:space="0" w:color="auto" w:frame="1"/>
            <w:lang w:val="fr-FR" w:eastAsia="es-ES"/>
            <w14:ligatures w14:val="none"/>
          </w:rPr>
          <w:t>procédures spéciales</w:t>
        </w:r>
      </w:hyperlink>
      <w:r w:rsidRPr="00A939E2">
        <w:rPr>
          <w:rFonts w:ascii="Calibri" w:eastAsia="Times New Roman" w:hAnsi="Calibri" w:cs="Calibri"/>
          <w:i/>
          <w:iCs/>
          <w:color w:val="000000"/>
          <w:kern w:val="0"/>
          <w:bdr w:val="none" w:sz="0" w:space="0" w:color="auto" w:frame="1"/>
          <w:lang w:val="fr-FR" w:eastAsia="es-ES"/>
          <w14:ligatures w14:val="none"/>
        </w:rPr>
        <w:t xml:space="preserve"> du Conseil des droits </w:t>
      </w:r>
      <w:r w:rsidRPr="00A939E2">
        <w:rPr>
          <w:rFonts w:ascii="Calibri" w:eastAsia="Times New Roman" w:hAnsi="Calibri" w:cs="Calibri"/>
          <w:i/>
          <w:iCs/>
          <w:color w:val="000000"/>
          <w:kern w:val="0"/>
          <w:bdr w:val="none" w:sz="0" w:space="0" w:color="auto" w:frame="1"/>
          <w:lang w:val="fr-FR" w:eastAsia="es-ES"/>
          <w14:ligatures w14:val="none"/>
        </w:rPr>
        <w:lastRenderedPageBreak/>
        <w:t>de l'homme. Les experts des procédures spéciales travaillent sur la base du volontariat ; ils ne font pas partie du personnel des Nations unies et ne reçoivent pas de salaire pour leur travail. Bien que le Bureau des droits de l'homme des Nations unies fasse office de secrétariat pour les procédures spéciales, les experts exercent leurs fonctions à titre individuel et sont indépendants de tout gouvernement ou organisation, y compris du Haut-Commissariat aux droits de l'homme et des Nations unies. Tous points de vue ou opinions présentés sont uniquement ceux de l'auteur et ne représentent pas nécessairement ceux de l'ONU ou du HCDH.</w:t>
      </w:r>
    </w:p>
    <w:p w14:paraId="3E0F006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608E2A6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Les observations et recommandations spécifiques formulées à un pays par les mécanismes des droits de l'homme des Nations unies, y compris les procédures spéciales, les organes de traités et l'examen périodique universel, peuvent être consultées sur l'index universel des droits de l'homme (</w:t>
      </w:r>
      <w:hyperlink r:id="rId29" w:tgtFrame="_blank" w:tooltip="https://uhri.ohchr.org/fr/" w:history="1">
        <w:r w:rsidRPr="00A939E2">
          <w:rPr>
            <w:rFonts w:ascii="Calibri" w:eastAsia="Times New Roman" w:hAnsi="Calibri" w:cs="Calibri"/>
            <w:i/>
            <w:iCs/>
            <w:color w:val="0000FF"/>
            <w:kern w:val="0"/>
            <w:u w:val="single"/>
            <w:bdr w:val="none" w:sz="0" w:space="0" w:color="auto" w:frame="1"/>
            <w:lang w:val="fr-FR" w:eastAsia="es-ES"/>
            <w14:ligatures w14:val="none"/>
          </w:rPr>
          <w:t>https://uhri.ohchr.org/fr/</w:t>
        </w:r>
      </w:hyperlink>
      <w:r w:rsidRPr="00A939E2">
        <w:rPr>
          <w:rFonts w:ascii="Calibri" w:eastAsia="Times New Roman" w:hAnsi="Calibri" w:cs="Calibri"/>
          <w:i/>
          <w:iCs/>
          <w:color w:val="000000"/>
          <w:kern w:val="0"/>
          <w:bdr w:val="none" w:sz="0" w:space="0" w:color="auto" w:frame="1"/>
          <w:lang w:val="fr-FR" w:eastAsia="es-ES"/>
          <w14:ligatures w14:val="none"/>
        </w:rPr>
        <w:t>).</w:t>
      </w:r>
    </w:p>
    <w:p w14:paraId="48FEA9B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6CC1663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Pour plus d'informations et pour les demandes des médias, veuillez contacter : </w:t>
      </w:r>
      <w:hyperlink r:id="rId30" w:tooltip="mailto:hrc-sr-extremepoverty@un.org" w:history="1">
        <w:r w:rsidRPr="00A939E2">
          <w:rPr>
            <w:rFonts w:ascii="Calibri" w:eastAsia="Times New Roman" w:hAnsi="Calibri" w:cs="Calibri"/>
            <w:i/>
            <w:iCs/>
            <w:color w:val="0000FF"/>
            <w:kern w:val="0"/>
            <w:u w:val="single"/>
            <w:bdr w:val="none" w:sz="0" w:space="0" w:color="auto" w:frame="1"/>
            <w:lang w:val="fr-FR" w:eastAsia="es-ES"/>
            <w14:ligatures w14:val="none"/>
          </w:rPr>
          <w:t>hrc-sr-extremepoverty@un.org</w:t>
        </w:r>
      </w:hyperlink>
    </w:p>
    <w:p w14:paraId="527BF1B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77F43B1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Pour toute requête des médias relative à d'autres experts indépendants des Nations Unies, veuillez contacter Maya Derouaz (</w:t>
      </w:r>
      <w:hyperlink r:id="rId31" w:tooltip="mailto:maya.derouaz@un.org" w:history="1">
        <w:r w:rsidRPr="00A939E2">
          <w:rPr>
            <w:rFonts w:ascii="Calibri" w:eastAsia="Times New Roman" w:hAnsi="Calibri" w:cs="Calibri"/>
            <w:i/>
            <w:iCs/>
            <w:color w:val="0000FF"/>
            <w:kern w:val="0"/>
            <w:u w:val="single"/>
            <w:bdr w:val="none" w:sz="0" w:space="0" w:color="auto" w:frame="1"/>
            <w:lang w:val="fr-FR" w:eastAsia="es-ES"/>
            <w14:ligatures w14:val="none"/>
          </w:rPr>
          <w:t>maya.derouaz@un.org</w:t>
        </w:r>
      </w:hyperlink>
      <w:r w:rsidRPr="00A939E2">
        <w:rPr>
          <w:rFonts w:ascii="Calibri" w:eastAsia="Times New Roman" w:hAnsi="Calibri" w:cs="Calibri"/>
          <w:i/>
          <w:iCs/>
          <w:color w:val="000000"/>
          <w:kern w:val="0"/>
          <w:bdr w:val="none" w:sz="0" w:space="0" w:color="auto" w:frame="1"/>
          <w:lang w:val="fr-FR" w:eastAsia="es-ES"/>
          <w14:ligatures w14:val="none"/>
        </w:rPr>
        <w:t xml:space="preserve">) ou </w:t>
      </w:r>
      <w:proofErr w:type="spellStart"/>
      <w:r w:rsidRPr="00A939E2">
        <w:rPr>
          <w:rFonts w:ascii="Calibri" w:eastAsia="Times New Roman" w:hAnsi="Calibri" w:cs="Calibri"/>
          <w:i/>
          <w:iCs/>
          <w:color w:val="000000"/>
          <w:kern w:val="0"/>
          <w:bdr w:val="none" w:sz="0" w:space="0" w:color="auto" w:frame="1"/>
          <w:lang w:val="fr-FR" w:eastAsia="es-ES"/>
          <w14:ligatures w14:val="none"/>
        </w:rPr>
        <w:t>Dharisha</w:t>
      </w:r>
      <w:proofErr w:type="spellEnd"/>
      <w:r w:rsidRPr="00A939E2">
        <w:rPr>
          <w:rFonts w:ascii="Calibri" w:eastAsia="Times New Roman" w:hAnsi="Calibri" w:cs="Calibri"/>
          <w:i/>
          <w:iCs/>
          <w:color w:val="000000"/>
          <w:kern w:val="0"/>
          <w:bdr w:val="none" w:sz="0" w:space="0" w:color="auto" w:frame="1"/>
          <w:lang w:val="fr-FR" w:eastAsia="es-ES"/>
          <w14:ligatures w14:val="none"/>
        </w:rPr>
        <w:t xml:space="preserve"> </w:t>
      </w:r>
      <w:proofErr w:type="spellStart"/>
      <w:r w:rsidRPr="00A939E2">
        <w:rPr>
          <w:rFonts w:ascii="Calibri" w:eastAsia="Times New Roman" w:hAnsi="Calibri" w:cs="Calibri"/>
          <w:i/>
          <w:iCs/>
          <w:color w:val="000000"/>
          <w:kern w:val="0"/>
          <w:bdr w:val="none" w:sz="0" w:space="0" w:color="auto" w:frame="1"/>
          <w:lang w:val="fr-FR" w:eastAsia="es-ES"/>
          <w14:ligatures w14:val="none"/>
        </w:rPr>
        <w:t>Indraguptha</w:t>
      </w:r>
      <w:proofErr w:type="spellEnd"/>
      <w:r w:rsidRPr="00A939E2">
        <w:rPr>
          <w:rFonts w:ascii="Calibri" w:eastAsia="Times New Roman" w:hAnsi="Calibri" w:cs="Calibri"/>
          <w:i/>
          <w:iCs/>
          <w:color w:val="000000"/>
          <w:kern w:val="0"/>
          <w:bdr w:val="none" w:sz="0" w:space="0" w:color="auto" w:frame="1"/>
          <w:lang w:val="fr-FR" w:eastAsia="es-ES"/>
          <w14:ligatures w14:val="none"/>
        </w:rPr>
        <w:t xml:space="preserve"> (</w:t>
      </w:r>
      <w:hyperlink r:id="rId32" w:tooltip="mailto:dharisha.indraguptha@un.org" w:history="1">
        <w:r w:rsidRPr="00A939E2">
          <w:rPr>
            <w:rFonts w:ascii="Calibri" w:eastAsia="Times New Roman" w:hAnsi="Calibri" w:cs="Calibri"/>
            <w:i/>
            <w:iCs/>
            <w:color w:val="0000FF"/>
            <w:kern w:val="0"/>
            <w:u w:val="single"/>
            <w:bdr w:val="none" w:sz="0" w:space="0" w:color="auto" w:frame="1"/>
            <w:lang w:val="fr-FR" w:eastAsia="es-ES"/>
            <w14:ligatures w14:val="none"/>
          </w:rPr>
          <w:t>dharisha.indraguptha@un.org</w:t>
        </w:r>
      </w:hyperlink>
      <w:r w:rsidRPr="00A939E2">
        <w:rPr>
          <w:rFonts w:ascii="Calibri" w:eastAsia="Times New Roman" w:hAnsi="Calibri" w:cs="Calibri"/>
          <w:i/>
          <w:iCs/>
          <w:color w:val="000000"/>
          <w:kern w:val="0"/>
          <w:bdr w:val="none" w:sz="0" w:space="0" w:color="auto" w:frame="1"/>
          <w:lang w:val="fr-FR" w:eastAsia="es-ES"/>
          <w14:ligatures w14:val="none"/>
        </w:rPr>
        <w:t>).</w:t>
      </w:r>
    </w:p>
    <w:p w14:paraId="6F8AC94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val="pt-PT"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3A57809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Suivez les actualités des experts indépendants des droits de l'homme des Nations Unies sur X : </w:t>
      </w:r>
      <w:hyperlink r:id="rId33" w:tgtFrame="_blank" w:tooltip="Dirección URL original: https://twitter.com/UN_SPExperts. Haga clic o pulse si confía en este vínculo." w:history="1">
        <w:r w:rsidRPr="00A939E2">
          <w:rPr>
            <w:rFonts w:ascii="Calibri" w:eastAsia="Times New Roman" w:hAnsi="Calibri" w:cs="Calibri"/>
            <w:i/>
            <w:iCs/>
            <w:color w:val="0000FF"/>
            <w:kern w:val="0"/>
            <w:u w:val="single"/>
            <w:bdr w:val="none" w:sz="0" w:space="0" w:color="auto" w:frame="1"/>
            <w:lang w:val="fr-FR" w:eastAsia="es-ES"/>
            <w14:ligatures w14:val="none"/>
          </w:rPr>
          <w:t>@UN_SPExperts</w:t>
        </w:r>
      </w:hyperlink>
      <w:r w:rsidRPr="00A939E2">
        <w:rPr>
          <w:rFonts w:ascii="Calibri" w:eastAsia="Times New Roman" w:hAnsi="Calibri" w:cs="Calibri"/>
          <w:i/>
          <w:iCs/>
          <w:color w:val="000000"/>
          <w:kern w:val="0"/>
          <w:bdr w:val="none" w:sz="0" w:space="0" w:color="auto" w:frame="1"/>
          <w:lang w:val="fr-FR" w:eastAsia="es-ES"/>
          <w14:ligatures w14:val="none"/>
        </w:rPr>
        <w:t>.</w:t>
      </w:r>
    </w:p>
    <w:p w14:paraId="49EC8FFF"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val="fr-FR" w:eastAsia="es-ES"/>
          <w14:ligatures w14:val="none"/>
        </w:rPr>
        <w:t> </w:t>
      </w:r>
    </w:p>
    <w:p w14:paraId="135D088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val="en-GB" w:eastAsia="es-ES"/>
          <w14:ligatures w14:val="none"/>
        </w:rPr>
        <w:t>_______________________________</w:t>
      </w:r>
      <w:r w:rsidRPr="00A939E2">
        <w:rPr>
          <w:rFonts w:ascii="Calibri" w:eastAsia="Times New Roman" w:hAnsi="Calibri" w:cs="Calibri"/>
          <w:i/>
          <w:iCs/>
          <w:color w:val="000000"/>
          <w:kern w:val="0"/>
          <w:sz w:val="26"/>
          <w:szCs w:val="26"/>
          <w:bdr w:val="none" w:sz="0" w:space="0" w:color="auto" w:frame="1"/>
          <w:lang w:val="en-GB" w:eastAsia="es-ES"/>
          <w14:ligatures w14:val="none"/>
        </w:rPr>
        <w:br/>
      </w:r>
    </w:p>
    <w:p w14:paraId="731BC85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eastAsia="es-ES"/>
          <w14:ligatures w14:val="none"/>
        </w:rPr>
        <w:t> </w:t>
      </w:r>
    </w:p>
    <w:p w14:paraId="0BE11057"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color w:val="000000"/>
          <w:kern w:val="0"/>
          <w:sz w:val="28"/>
          <w:szCs w:val="28"/>
          <w:bdr w:val="none" w:sz="0" w:space="0" w:color="auto" w:frame="1"/>
          <w:lang w:eastAsia="es-ES"/>
          <w14:ligatures w14:val="none"/>
        </w:rPr>
        <w:t>Repensar el progreso: Experta de la ONU llama a combatir la pobreza más allá del crecimiento y a ampliar la protección social</w:t>
      </w:r>
    </w:p>
    <w:p w14:paraId="543C9A91"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sz w:val="26"/>
          <w:szCs w:val="26"/>
          <w:bdr w:val="none" w:sz="0" w:space="0" w:color="auto" w:frame="1"/>
          <w:lang w:val="es-419" w:eastAsia="es-ES"/>
          <w14:ligatures w14:val="none"/>
        </w:rPr>
        <w:t> </w:t>
      </w:r>
    </w:p>
    <w:p w14:paraId="3402990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GINEBRA (25 de junio de 2026) – Debe producirse un cambio fundamental en las estrategias mundiales de lucha contra la pobreza, superando la idea de que el «crecimiento» económico es la única vía para erradicarla, afirmó hoy la Relatora Especial sobre la extrema pobreza y los derechos humanos, Elena Díaz Galán, al presentar ante el Consejo de Derechos Humanos </w:t>
      </w:r>
      <w:hyperlink r:id="rId34"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la Hoja de Ruta para la Erradicación de la Pobreza Más Allá del Crecimiento.</w:t>
        </w:r>
      </w:hyperlink>
    </w:p>
    <w:p w14:paraId="62B547A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5F8BC982"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«Lo que importa a las personas que viven en la pobreza no es una expansión económica abstracta, sino mejoras reales en sus condiciones de vida. La pobreza es multidimensional y se experimenta en la vida cotidiana; no puede reducirse a los ingresos ni resolverse únicamente mediante el crecimiento», señaló Díaz Galán.</w:t>
      </w:r>
    </w:p>
    <w:p w14:paraId="10BE5E4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7233089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El </w:t>
      </w:r>
      <w:hyperlink r:id="rId35" w:tgtFrame="_blank" w:tooltip="https://www.ohchr.org/en/documents/thematic-reports/ahrc6242-manufacturing-poverty-report-special-rapporteur-extreme-poverty"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informe</w:t>
        </w:r>
      </w:hyperlink>
      <w:r w:rsidRPr="00A939E2">
        <w:rPr>
          <w:rFonts w:ascii="Calibri" w:eastAsia="Times New Roman" w:hAnsi="Calibri" w:cs="Calibri"/>
          <w:color w:val="000000"/>
          <w:kern w:val="0"/>
          <w:sz w:val="26"/>
          <w:szCs w:val="26"/>
          <w:bdr w:val="none" w:sz="0" w:space="0" w:color="auto" w:frame="1"/>
          <w:lang w:val="es-419" w:eastAsia="es-ES"/>
          <w14:ligatures w14:val="none"/>
        </w:rPr>
        <w:t> y la </w:t>
      </w:r>
      <w:hyperlink r:id="rId36"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Hoja de Ruta</w:t>
        </w:r>
      </w:hyperlink>
      <w:r w:rsidRPr="00A939E2">
        <w:rPr>
          <w:rFonts w:ascii="Calibri" w:eastAsia="Times New Roman" w:hAnsi="Calibri" w:cs="Calibri"/>
          <w:color w:val="000000"/>
          <w:kern w:val="0"/>
          <w:sz w:val="26"/>
          <w:szCs w:val="26"/>
          <w:bdr w:val="none" w:sz="0" w:space="0" w:color="auto" w:frame="1"/>
          <w:lang w:val="es-419" w:eastAsia="es-ES"/>
          <w14:ligatures w14:val="none"/>
        </w:rPr>
        <w:t xml:space="preserve">, elaborados por el anterior Relator Especial sobre la extrema pobreza y los derechos humanos, Olivier De Schutter, destacan el potencial transformador de las estrategias nacionales de lucha contra la pobreza desarrolladas mediante procesos auténticamente participativos. Cuando las personas que experimentan la pobreza ayudan a definir las prioridades, las </w:t>
      </w:r>
      <w:r w:rsidRPr="00A939E2">
        <w:rPr>
          <w:rFonts w:ascii="Calibri" w:eastAsia="Times New Roman" w:hAnsi="Calibri" w:cs="Calibri"/>
          <w:color w:val="000000"/>
          <w:kern w:val="0"/>
          <w:sz w:val="26"/>
          <w:szCs w:val="26"/>
          <w:bdr w:val="none" w:sz="0" w:space="0" w:color="auto" w:frame="1"/>
          <w:lang w:val="es-419" w:eastAsia="es-ES"/>
          <w14:ligatures w14:val="none"/>
        </w:rPr>
        <w:lastRenderedPageBreak/>
        <w:t>políticas se vuelven más ambiciosas, realistas y eficaces, están mejor alineadas con las necesidades reales y tienen más probabilidades de mejorar las condiciones de vida. Además, estas estrategias fortalecen la toma de decisiones democráticas y restauran la confianza al garantizar que quienes se ven más afectados estén en el centro del diseño de las políticas públicas.</w:t>
      </w:r>
    </w:p>
    <w:p w14:paraId="2ADDFB1A"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20F6D15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De manera crucial, estas estrategias cuestionan la creencia arraigada de que el crecimiento es una condición previa para el progreso social. Las evidencias muestran que el modelo actual de crecimiento económico no reduce de forma fiable la pobreza y, con frecuencia, profundiza las desigualdades.</w:t>
      </w:r>
    </w:p>
    <w:p w14:paraId="37CAAA1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74ECDF6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Si bien el crecimiento económico sigue siendo necesario, especialmente para los países de bajos ingresos, con el fin de financiar infraestructuras y mejorar el nivel de vida, es esencial que dicho crecimiento se oriente cuidadosamente para evitar que agrave las desigualdades o impulse la degradación ambiental.</w:t>
      </w:r>
    </w:p>
    <w:p w14:paraId="3E42FCC2"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2AE77B0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Por el contrario, las estrategias nacionales de lucha contra la pobreza pueden proporcionar un marco de gobernanza que permita superar este paradigma, reorientando la toma de decisiones hacia el bienestar, la igualdad y la sostenibilidad.</w:t>
      </w:r>
    </w:p>
    <w:p w14:paraId="0D670872"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44BBB58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La «</w:t>
      </w:r>
      <w:hyperlink r:id="rId37"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Hoja de Ruta para la Erradicación de la Pobreza Más Allá del Crecimiento</w:t>
        </w:r>
      </w:hyperlink>
      <w:r w:rsidRPr="00A939E2">
        <w:rPr>
          <w:rFonts w:ascii="Calibri" w:eastAsia="Times New Roman" w:hAnsi="Calibri" w:cs="Calibri"/>
          <w:color w:val="000000"/>
          <w:kern w:val="0"/>
          <w:sz w:val="26"/>
          <w:szCs w:val="26"/>
          <w:bdr w:val="none" w:sz="0" w:space="0" w:color="auto" w:frame="1"/>
          <w:lang w:val="es-419" w:eastAsia="es-ES"/>
          <w14:ligatures w14:val="none"/>
        </w:rPr>
        <w:t>», resultado de un proceso colaborativo sin precedentes que se extendió durante más de 18 meses y contó con la participación de más de 400 colaboradores —entre ellos gobiernos, sindicatos, organizaciones de la sociedad civil, académicos y agencias de las Naciones Unidas—, ofrece un plan integral con propuestas concretas de políticas públicas. Presentada hoy ante el Consejo de Derechos Humanos, la </w:t>
      </w:r>
      <w:hyperlink r:id="rId38"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Hoja de Ruta</w:t>
        </w:r>
      </w:hyperlink>
      <w:r w:rsidRPr="00A939E2">
        <w:rPr>
          <w:rFonts w:ascii="Calibri" w:eastAsia="Times New Roman" w:hAnsi="Calibri" w:cs="Calibri"/>
          <w:color w:val="000000"/>
          <w:kern w:val="0"/>
          <w:sz w:val="26"/>
          <w:szCs w:val="26"/>
          <w:bdr w:val="none" w:sz="0" w:space="0" w:color="auto" w:frame="1"/>
          <w:lang w:val="es-419" w:eastAsia="es-ES"/>
          <w14:ligatures w14:val="none"/>
        </w:rPr>
        <w:t> explora cómo abordar la pobreza y la desigualdad de manera que beneficie a los titulares de derechos sin poner en peligro el planeta.</w:t>
      </w:r>
    </w:p>
    <w:p w14:paraId="7030247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01F4691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La </w:t>
      </w:r>
      <w:hyperlink r:id="rId39"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Hoja de Ruta</w:t>
        </w:r>
      </w:hyperlink>
      <w:r w:rsidRPr="00A939E2">
        <w:rPr>
          <w:rFonts w:ascii="Calibri" w:eastAsia="Times New Roman" w:hAnsi="Calibri" w:cs="Calibri"/>
          <w:color w:val="000000"/>
          <w:kern w:val="0"/>
          <w:sz w:val="26"/>
          <w:szCs w:val="26"/>
          <w:bdr w:val="none" w:sz="0" w:space="0" w:color="auto" w:frame="1"/>
          <w:lang w:val="es-419" w:eastAsia="es-ES"/>
          <w14:ligatures w14:val="none"/>
        </w:rPr>
        <w:t xml:space="preserve"> amplía el abanico de políticas más allá del modelo tradicional de «crecer–gravar–transferir», integrando la redistribución con reformas dentro de los mercados e inversiones sociales previas al mercado. También ofrece medidas prácticas para construir economías que prioricen los derechos humanos y satisfagan las necesidades esenciales dentro de los límites planetarios. Considera que la redefinición de las relaciones económicas internacionales —incluida la justicia en materia de deuda y un mayor financiamiento internacional para la protección social— es una condición necesaria para que los países en desarrollo, y especialmente los de bajos ingresos, puedan adoptar patrones de crecimiento </w:t>
      </w:r>
      <w:proofErr w:type="gramStart"/>
      <w:r w:rsidRPr="00A939E2">
        <w:rPr>
          <w:rFonts w:ascii="Calibri" w:eastAsia="Times New Roman" w:hAnsi="Calibri" w:cs="Calibri"/>
          <w:color w:val="000000"/>
          <w:kern w:val="0"/>
          <w:sz w:val="26"/>
          <w:szCs w:val="26"/>
          <w:bdr w:val="none" w:sz="0" w:space="0" w:color="auto" w:frame="1"/>
          <w:lang w:val="es-419" w:eastAsia="es-ES"/>
          <w14:ligatures w14:val="none"/>
        </w:rPr>
        <w:t>menos extractivos y menos explotadores</w:t>
      </w:r>
      <w:proofErr w:type="gramEnd"/>
      <w:r w:rsidRPr="00A939E2">
        <w:rPr>
          <w:rFonts w:ascii="Calibri" w:eastAsia="Times New Roman" w:hAnsi="Calibri" w:cs="Calibri"/>
          <w:color w:val="000000"/>
          <w:kern w:val="0"/>
          <w:sz w:val="26"/>
          <w:szCs w:val="26"/>
          <w:bdr w:val="none" w:sz="0" w:space="0" w:color="auto" w:frame="1"/>
          <w:lang w:val="es-419" w:eastAsia="es-ES"/>
          <w14:ligatures w14:val="none"/>
        </w:rPr>
        <w:t>.</w:t>
      </w:r>
    </w:p>
    <w:p w14:paraId="18713CB4"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4B327D97"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xml:space="preserve">«La pobreza no es inevitable; es el resultado de decisiones políticas. Acabar con ella requiere participación democrática, valentía política y una redefinición del propio concepto de progreso. No tenemos otra opción que reconsiderar los </w:t>
      </w:r>
      <w:r w:rsidRPr="00A939E2">
        <w:rPr>
          <w:rFonts w:ascii="Calibri" w:eastAsia="Times New Roman" w:hAnsi="Calibri" w:cs="Calibri"/>
          <w:color w:val="000000"/>
          <w:kern w:val="0"/>
          <w:sz w:val="26"/>
          <w:szCs w:val="26"/>
          <w:bdr w:val="none" w:sz="0" w:space="0" w:color="auto" w:frame="1"/>
          <w:lang w:val="es-419" w:eastAsia="es-ES"/>
          <w14:ligatures w14:val="none"/>
        </w:rPr>
        <w:lastRenderedPageBreak/>
        <w:t>modelos económicos y financieros que utilizamos. Están aumentando las desigualdades y alimentando la triple crisis planetaria del cambio climático, la pérdida de biodiversidad y la contaminación», dijeron los expertos.</w:t>
      </w:r>
    </w:p>
    <w:p w14:paraId="6B08DD2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4E19E09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«La </w:t>
      </w:r>
      <w:hyperlink r:id="rId40" w:tgtFrame="_blank" w:tooltip="https://www.ohchr.org/en/documents/thematic-reports/ahrc6242add2-roadmap-eradicating-poverty-beyond-growth-report-special" w:history="1">
        <w:r w:rsidRPr="00A939E2">
          <w:rPr>
            <w:rFonts w:ascii="Calibri" w:eastAsia="Times New Roman" w:hAnsi="Calibri" w:cs="Calibri"/>
            <w:color w:val="0000FF"/>
            <w:kern w:val="0"/>
            <w:sz w:val="26"/>
            <w:szCs w:val="26"/>
            <w:u w:val="single"/>
            <w:bdr w:val="none" w:sz="0" w:space="0" w:color="auto" w:frame="1"/>
            <w:lang w:val="es-419" w:eastAsia="es-ES"/>
            <w14:ligatures w14:val="none"/>
          </w:rPr>
          <w:t>Hoja de Ruta</w:t>
        </w:r>
      </w:hyperlink>
      <w:r w:rsidRPr="00A939E2">
        <w:rPr>
          <w:rFonts w:ascii="Calibri" w:eastAsia="Times New Roman" w:hAnsi="Calibri" w:cs="Calibri"/>
          <w:color w:val="000000"/>
          <w:kern w:val="0"/>
          <w:sz w:val="26"/>
          <w:szCs w:val="26"/>
          <w:bdr w:val="none" w:sz="0" w:space="0" w:color="auto" w:frame="1"/>
          <w:lang w:val="es-419" w:eastAsia="es-ES"/>
          <w14:ligatures w14:val="none"/>
        </w:rPr>
        <w:t> ofrece un camino claro hacia adelante: uno que sitúa a las personas —y no al PIB — en el centro del desarrollo y de la lucha contra la pobreza.»</w:t>
      </w:r>
    </w:p>
    <w:p w14:paraId="51C9C13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 </w:t>
      </w:r>
    </w:p>
    <w:p w14:paraId="44065C4F"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color w:val="000000"/>
          <w:kern w:val="0"/>
          <w:sz w:val="26"/>
          <w:szCs w:val="26"/>
          <w:bdr w:val="none" w:sz="0" w:space="0" w:color="auto" w:frame="1"/>
          <w:lang w:val="es-419" w:eastAsia="es-ES"/>
          <w14:ligatures w14:val="none"/>
        </w:rPr>
        <w:t>FIN</w:t>
      </w:r>
    </w:p>
    <w:p w14:paraId="431009CE"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sz w:val="26"/>
          <w:szCs w:val="26"/>
          <w:bdr w:val="none" w:sz="0" w:space="0" w:color="auto" w:frame="1"/>
          <w:lang w:eastAsia="es-ES"/>
          <w14:ligatures w14:val="none"/>
        </w:rPr>
        <w:t> </w:t>
      </w:r>
    </w:p>
    <w:p w14:paraId="59550C23"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b/>
          <w:bCs/>
          <w:i/>
          <w:iCs/>
          <w:color w:val="000000"/>
          <w:kern w:val="0"/>
          <w:bdr w:val="none" w:sz="0" w:space="0" w:color="auto" w:frame="1"/>
          <w:lang w:eastAsia="es-ES"/>
          <w14:ligatures w14:val="none"/>
        </w:rPr>
        <w:t>Elena Carolina Díaz Galán</w:t>
      </w:r>
      <w:r w:rsidRPr="00A939E2">
        <w:rPr>
          <w:rFonts w:ascii="Calibri" w:eastAsia="Times New Roman" w:hAnsi="Calibri" w:cs="Calibri"/>
          <w:i/>
          <w:iCs/>
          <w:color w:val="000000"/>
          <w:kern w:val="0"/>
          <w:bdr w:val="none" w:sz="0" w:space="0" w:color="auto" w:frame="1"/>
          <w:lang w:eastAsia="es-ES"/>
          <w14:ligatures w14:val="none"/>
        </w:rPr>
        <w:t> es la  </w:t>
      </w:r>
      <w:hyperlink r:id="rId41" w:tgtFrame="_blank" w:tooltip="http://www.ohchr.org/es/special-procedures/sr-poverty" w:history="1">
        <w:r w:rsidRPr="00A939E2">
          <w:rPr>
            <w:rFonts w:ascii="Calibri" w:eastAsia="Times New Roman" w:hAnsi="Calibri" w:cs="Calibri"/>
            <w:i/>
            <w:iCs/>
            <w:color w:val="0000FF"/>
            <w:kern w:val="0"/>
            <w:u w:val="single"/>
            <w:bdr w:val="none" w:sz="0" w:space="0" w:color="auto" w:frame="1"/>
            <w:lang w:eastAsia="es-ES"/>
            <w14:ligatures w14:val="none"/>
          </w:rPr>
          <w:t>Relatora Especial sobre la extrema pobreza y los derechos humanos</w:t>
        </w:r>
      </w:hyperlink>
      <w:r w:rsidRPr="00A939E2">
        <w:rPr>
          <w:rFonts w:ascii="Calibri" w:eastAsia="Times New Roman" w:hAnsi="Calibri" w:cs="Calibri"/>
          <w:i/>
          <w:iCs/>
          <w:color w:val="000000"/>
          <w:kern w:val="0"/>
          <w:bdr w:val="none" w:sz="0" w:space="0" w:color="auto" w:frame="1"/>
          <w:lang w:eastAsia="es-ES"/>
          <w14:ligatures w14:val="none"/>
        </w:rPr>
        <w:t> desde el 1 de mayo de 2026.</w:t>
      </w:r>
    </w:p>
    <w:p w14:paraId="2EBF6E9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w:t>
      </w:r>
    </w:p>
    <w:p w14:paraId="0101479C"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Los relatores especiales/expertos independientes/grupos de trabajo son expertos independientes en derechos humanos nombrados por el Consejo de Derechos Humanos de las Naciones Unidas. En conjunto, estos expertos se denominan </w:t>
      </w:r>
      <w:hyperlink r:id="rId42" w:tgtFrame="_blank" w:tooltip="https://www.ohchr.org/es/special-procedures-human-rights-council" w:history="1">
        <w:r w:rsidRPr="00A939E2">
          <w:rPr>
            <w:rFonts w:ascii="Calibri" w:eastAsia="Times New Roman" w:hAnsi="Calibri" w:cs="Calibri"/>
            <w:i/>
            <w:iCs/>
            <w:color w:val="0000FF"/>
            <w:kern w:val="0"/>
            <w:u w:val="single"/>
            <w:bdr w:val="none" w:sz="0" w:space="0" w:color="auto" w:frame="1"/>
            <w:lang w:eastAsia="es-ES"/>
            <w14:ligatures w14:val="none"/>
          </w:rPr>
          <w:t>procedimientos especiales</w:t>
        </w:r>
      </w:hyperlink>
      <w:r w:rsidRPr="00A939E2">
        <w:rPr>
          <w:rFonts w:ascii="Calibri" w:eastAsia="Times New Roman" w:hAnsi="Calibri" w:cs="Calibri"/>
          <w:i/>
          <w:iCs/>
          <w:color w:val="000000"/>
          <w:kern w:val="0"/>
          <w:bdr w:val="none" w:sz="0" w:space="0" w:color="auto" w:frame="1"/>
          <w:lang w:eastAsia="es-ES"/>
          <w14:ligatures w14:val="none"/>
        </w:rPr>
        <w:t> del Consejo de Derechos Humanos. Los expertos de los Procedimientos Especiales trabajan de forma voluntaria; no son personal de la ONU y no reciben un salario por su trabajo. Aunque la Oficina de Derechos Humanos de las Naciones Unidas actúa como secretaría de los Procedimientos Especiales, los expertos actúan a título individual y son independientes de cualquier gobierno u organización, incluidas la OACNUDH y las Naciones Unidas. Cualquier punto de vista u opinión presentados son exclusivamente los del autor y no representan necesariamente los de la ONU o de la OACNUDH.</w:t>
      </w:r>
    </w:p>
    <w:p w14:paraId="2924CF1D"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w:t>
      </w:r>
    </w:p>
    <w:p w14:paraId="042A6228"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Las observaciones y recomendaciones específicas por país de los mecanismos de derechos humanos de la ONU, incluidos los procedimientos especiales, los órganos de tratados y el Examen Periódico Universal, pueden consultarse en el Índice Universal de los Derechos Humanos </w:t>
      </w:r>
      <w:hyperlink r:id="rId43" w:tgtFrame="_blank" w:tooltip="https://uhri.ohchr.org/es/" w:history="1">
        <w:r w:rsidRPr="00A939E2">
          <w:rPr>
            <w:rFonts w:ascii="Calibri" w:eastAsia="Times New Roman" w:hAnsi="Calibri" w:cs="Calibri"/>
            <w:i/>
            <w:iCs/>
            <w:color w:val="0000FF"/>
            <w:kern w:val="0"/>
            <w:u w:val="single"/>
            <w:bdr w:val="none" w:sz="0" w:space="0" w:color="auto" w:frame="1"/>
            <w:lang w:eastAsia="es-ES"/>
            <w14:ligatures w14:val="none"/>
          </w:rPr>
          <w:t>https://uhri.ohchr.org/es/</w:t>
        </w:r>
      </w:hyperlink>
      <w:r w:rsidRPr="00A939E2">
        <w:rPr>
          <w:rFonts w:ascii="Calibri" w:eastAsia="Times New Roman" w:hAnsi="Calibri" w:cs="Calibri"/>
          <w:i/>
          <w:iCs/>
          <w:color w:val="000000"/>
          <w:kern w:val="0"/>
          <w:bdr w:val="none" w:sz="0" w:space="0" w:color="auto" w:frame="1"/>
          <w:lang w:eastAsia="es-ES"/>
          <w14:ligatures w14:val="none"/>
        </w:rPr>
        <w:t>.</w:t>
      </w:r>
    </w:p>
    <w:p w14:paraId="6904569B"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w:t>
      </w:r>
    </w:p>
    <w:p w14:paraId="667B781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Para obtener más información y cualquier solicitud de los medios de comunicación, póngase en contacto con </w:t>
      </w:r>
      <w:hyperlink r:id="rId44" w:tooltip="mailto:hrc-sr-extremepoverty@un.org" w:history="1">
        <w:r w:rsidRPr="00A939E2">
          <w:rPr>
            <w:rFonts w:ascii="Calibri" w:eastAsia="Times New Roman" w:hAnsi="Calibri" w:cs="Calibri"/>
            <w:i/>
            <w:iCs/>
            <w:color w:val="0000FF"/>
            <w:kern w:val="0"/>
            <w:u w:val="single"/>
            <w:bdr w:val="none" w:sz="0" w:space="0" w:color="auto" w:frame="1"/>
            <w:lang w:eastAsia="es-ES"/>
            <w14:ligatures w14:val="none"/>
          </w:rPr>
          <w:t>hrc-sr-extremepoverty@un.org</w:t>
        </w:r>
      </w:hyperlink>
    </w:p>
    <w:p w14:paraId="29BB3BF0"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w:t>
      </w:r>
    </w:p>
    <w:p w14:paraId="0EF72C66"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xml:space="preserve">Para consultas de los medios de comunicación sobre otros expertos independientes de la ONU, póngase en contacto con Maya </w:t>
      </w:r>
      <w:proofErr w:type="spellStart"/>
      <w:r w:rsidRPr="00A939E2">
        <w:rPr>
          <w:rFonts w:ascii="Calibri" w:eastAsia="Times New Roman" w:hAnsi="Calibri" w:cs="Calibri"/>
          <w:i/>
          <w:iCs/>
          <w:color w:val="000000"/>
          <w:kern w:val="0"/>
          <w:bdr w:val="none" w:sz="0" w:space="0" w:color="auto" w:frame="1"/>
          <w:lang w:eastAsia="es-ES"/>
          <w14:ligatures w14:val="none"/>
        </w:rPr>
        <w:t>Derouaz</w:t>
      </w:r>
      <w:proofErr w:type="spellEnd"/>
      <w:r w:rsidRPr="00A939E2">
        <w:rPr>
          <w:rFonts w:ascii="Calibri" w:eastAsia="Times New Roman" w:hAnsi="Calibri" w:cs="Calibri"/>
          <w:i/>
          <w:iCs/>
          <w:color w:val="000000"/>
          <w:kern w:val="0"/>
          <w:bdr w:val="none" w:sz="0" w:space="0" w:color="auto" w:frame="1"/>
          <w:lang w:eastAsia="es-ES"/>
          <w14:ligatures w14:val="none"/>
        </w:rPr>
        <w:t xml:space="preserve"> (</w:t>
      </w:r>
      <w:hyperlink r:id="rId45" w:tooltip="mailto:maya.derouaz@un.org" w:history="1">
        <w:r w:rsidRPr="00A939E2">
          <w:rPr>
            <w:rFonts w:ascii="Calibri" w:eastAsia="Times New Roman" w:hAnsi="Calibri" w:cs="Calibri"/>
            <w:i/>
            <w:iCs/>
            <w:color w:val="0000FF"/>
            <w:kern w:val="0"/>
            <w:u w:val="single"/>
            <w:bdr w:val="none" w:sz="0" w:space="0" w:color="auto" w:frame="1"/>
            <w:lang w:eastAsia="es-ES"/>
            <w14:ligatures w14:val="none"/>
          </w:rPr>
          <w:t>maya.derouaz@un.org</w:t>
        </w:r>
      </w:hyperlink>
      <w:r w:rsidRPr="00A939E2">
        <w:rPr>
          <w:rFonts w:ascii="Calibri" w:eastAsia="Times New Roman" w:hAnsi="Calibri" w:cs="Calibri"/>
          <w:i/>
          <w:iCs/>
          <w:color w:val="000000"/>
          <w:kern w:val="0"/>
          <w:bdr w:val="none" w:sz="0" w:space="0" w:color="auto" w:frame="1"/>
          <w:lang w:eastAsia="es-ES"/>
          <w14:ligatures w14:val="none"/>
        </w:rPr>
        <w:t xml:space="preserve">) </w:t>
      </w:r>
      <w:proofErr w:type="spellStart"/>
      <w:r w:rsidRPr="00A939E2">
        <w:rPr>
          <w:rFonts w:ascii="Calibri" w:eastAsia="Times New Roman" w:hAnsi="Calibri" w:cs="Calibri"/>
          <w:i/>
          <w:iCs/>
          <w:color w:val="000000"/>
          <w:kern w:val="0"/>
          <w:bdr w:val="none" w:sz="0" w:space="0" w:color="auto" w:frame="1"/>
          <w:lang w:eastAsia="es-ES"/>
          <w14:ligatures w14:val="none"/>
        </w:rPr>
        <w:t>ou</w:t>
      </w:r>
      <w:proofErr w:type="spellEnd"/>
      <w:r w:rsidRPr="00A939E2">
        <w:rPr>
          <w:rFonts w:ascii="Calibri" w:eastAsia="Times New Roman" w:hAnsi="Calibri" w:cs="Calibri"/>
          <w:i/>
          <w:iCs/>
          <w:color w:val="000000"/>
          <w:kern w:val="0"/>
          <w:bdr w:val="none" w:sz="0" w:space="0" w:color="auto" w:frame="1"/>
          <w:lang w:eastAsia="es-ES"/>
          <w14:ligatures w14:val="none"/>
        </w:rPr>
        <w:t xml:space="preserve"> </w:t>
      </w:r>
      <w:proofErr w:type="spellStart"/>
      <w:r w:rsidRPr="00A939E2">
        <w:rPr>
          <w:rFonts w:ascii="Calibri" w:eastAsia="Times New Roman" w:hAnsi="Calibri" w:cs="Calibri"/>
          <w:i/>
          <w:iCs/>
          <w:color w:val="000000"/>
          <w:kern w:val="0"/>
          <w:bdr w:val="none" w:sz="0" w:space="0" w:color="auto" w:frame="1"/>
          <w:lang w:eastAsia="es-ES"/>
          <w14:ligatures w14:val="none"/>
        </w:rPr>
        <w:t>Dharisha</w:t>
      </w:r>
      <w:proofErr w:type="spellEnd"/>
      <w:r w:rsidRPr="00A939E2">
        <w:rPr>
          <w:rFonts w:ascii="Calibri" w:eastAsia="Times New Roman" w:hAnsi="Calibri" w:cs="Calibri"/>
          <w:i/>
          <w:iCs/>
          <w:color w:val="000000"/>
          <w:kern w:val="0"/>
          <w:bdr w:val="none" w:sz="0" w:space="0" w:color="auto" w:frame="1"/>
          <w:lang w:eastAsia="es-ES"/>
          <w14:ligatures w14:val="none"/>
        </w:rPr>
        <w:t xml:space="preserve"> </w:t>
      </w:r>
      <w:proofErr w:type="spellStart"/>
      <w:r w:rsidRPr="00A939E2">
        <w:rPr>
          <w:rFonts w:ascii="Calibri" w:eastAsia="Times New Roman" w:hAnsi="Calibri" w:cs="Calibri"/>
          <w:i/>
          <w:iCs/>
          <w:color w:val="000000"/>
          <w:kern w:val="0"/>
          <w:bdr w:val="none" w:sz="0" w:space="0" w:color="auto" w:frame="1"/>
          <w:lang w:eastAsia="es-ES"/>
          <w14:ligatures w14:val="none"/>
        </w:rPr>
        <w:t>Indraguptha</w:t>
      </w:r>
      <w:proofErr w:type="spellEnd"/>
      <w:r w:rsidRPr="00A939E2">
        <w:rPr>
          <w:rFonts w:ascii="Calibri" w:eastAsia="Times New Roman" w:hAnsi="Calibri" w:cs="Calibri"/>
          <w:i/>
          <w:iCs/>
          <w:color w:val="000000"/>
          <w:kern w:val="0"/>
          <w:bdr w:val="none" w:sz="0" w:space="0" w:color="auto" w:frame="1"/>
          <w:lang w:eastAsia="es-ES"/>
          <w14:ligatures w14:val="none"/>
        </w:rPr>
        <w:t xml:space="preserve"> (</w:t>
      </w:r>
      <w:hyperlink r:id="rId46" w:tooltip="mailto:dharisha.indraguptha@un.org" w:history="1">
        <w:r w:rsidRPr="00A939E2">
          <w:rPr>
            <w:rFonts w:ascii="Calibri" w:eastAsia="Times New Roman" w:hAnsi="Calibri" w:cs="Calibri"/>
            <w:i/>
            <w:iCs/>
            <w:color w:val="0000FF"/>
            <w:kern w:val="0"/>
            <w:u w:val="single"/>
            <w:bdr w:val="none" w:sz="0" w:space="0" w:color="auto" w:frame="1"/>
            <w:lang w:eastAsia="es-ES"/>
            <w14:ligatures w14:val="none"/>
          </w:rPr>
          <w:t>dharisha.indraguptha@un.org</w:t>
        </w:r>
      </w:hyperlink>
      <w:r w:rsidRPr="00A939E2">
        <w:rPr>
          <w:rFonts w:ascii="Calibri" w:eastAsia="Times New Roman" w:hAnsi="Calibri" w:cs="Calibri"/>
          <w:i/>
          <w:iCs/>
          <w:color w:val="000000"/>
          <w:kern w:val="0"/>
          <w:bdr w:val="none" w:sz="0" w:space="0" w:color="auto" w:frame="1"/>
          <w:lang w:eastAsia="es-ES"/>
          <w14:ligatures w14:val="none"/>
        </w:rPr>
        <w:t>).</w:t>
      </w:r>
    </w:p>
    <w:p w14:paraId="3B6F0019"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 </w:t>
      </w:r>
    </w:p>
    <w:p w14:paraId="2C639E05" w14:textId="77777777" w:rsidR="00A939E2" w:rsidRPr="00A939E2" w:rsidRDefault="00A939E2" w:rsidP="00A939E2">
      <w:pPr>
        <w:shd w:val="clear" w:color="auto" w:fill="FFFFFF"/>
        <w:spacing w:after="0" w:line="240" w:lineRule="auto"/>
        <w:jc w:val="both"/>
        <w:rPr>
          <w:rFonts w:ascii="Segoe UI" w:eastAsia="Times New Roman" w:hAnsi="Segoe UI" w:cs="Segoe UI"/>
          <w:color w:val="242424"/>
          <w:kern w:val="0"/>
          <w:sz w:val="23"/>
          <w:szCs w:val="23"/>
          <w:lang w:eastAsia="es-ES"/>
          <w14:ligatures w14:val="none"/>
        </w:rPr>
      </w:pPr>
      <w:r w:rsidRPr="00A939E2">
        <w:rPr>
          <w:rFonts w:ascii="Calibri" w:eastAsia="Times New Roman" w:hAnsi="Calibri" w:cs="Calibri"/>
          <w:i/>
          <w:iCs/>
          <w:color w:val="000000"/>
          <w:kern w:val="0"/>
          <w:bdr w:val="none" w:sz="0" w:space="0" w:color="auto" w:frame="1"/>
          <w:lang w:eastAsia="es-ES"/>
          <w14:ligatures w14:val="none"/>
        </w:rPr>
        <w:t>Siga las noticias de los expertos independientes en derechos humanos de las Naciones Unidas en X: </w:t>
      </w:r>
      <w:hyperlink r:id="rId47" w:tgtFrame="_blank" w:tooltip="Dirección URL original: https://twitter.com/UN_SPExperts. Haga clic o pulse si confía en este vínculo." w:history="1">
        <w:r w:rsidRPr="00A939E2">
          <w:rPr>
            <w:rFonts w:ascii="Calibri" w:eastAsia="Times New Roman" w:hAnsi="Calibri" w:cs="Calibri"/>
            <w:i/>
            <w:iCs/>
            <w:color w:val="0000FF"/>
            <w:kern w:val="0"/>
            <w:u w:val="single"/>
            <w:bdr w:val="none" w:sz="0" w:space="0" w:color="auto" w:frame="1"/>
            <w:lang w:eastAsia="es-ES"/>
            <w14:ligatures w14:val="none"/>
          </w:rPr>
          <w:t>@UN_SPExperts</w:t>
        </w:r>
      </w:hyperlink>
      <w:r w:rsidRPr="00A939E2">
        <w:rPr>
          <w:rFonts w:ascii="Calibri" w:eastAsia="Times New Roman" w:hAnsi="Calibri" w:cs="Calibri"/>
          <w:i/>
          <w:iCs/>
          <w:color w:val="000000"/>
          <w:kern w:val="0"/>
          <w:bdr w:val="none" w:sz="0" w:space="0" w:color="auto" w:frame="1"/>
          <w:lang w:eastAsia="es-ES"/>
          <w14:ligatures w14:val="none"/>
        </w:rPr>
        <w:t>.</w:t>
      </w:r>
    </w:p>
    <w:p w14:paraId="4E81828C" w14:textId="77777777" w:rsidR="00242DA3" w:rsidRDefault="00242DA3"/>
    <w:sectPr w:rsidR="00242DA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9F1"/>
    <w:rsid w:val="00242DA3"/>
    <w:rsid w:val="0033672C"/>
    <w:rsid w:val="007939F1"/>
    <w:rsid w:val="00A939E2"/>
    <w:rsid w:val="00AE56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90889-5C87-4B76-82A0-5BF4207A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3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3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39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39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39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39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39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39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39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39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39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39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39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39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39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39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39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39F1"/>
    <w:rPr>
      <w:rFonts w:eastAsiaTheme="majorEastAsia" w:cstheme="majorBidi"/>
      <w:color w:val="272727" w:themeColor="text1" w:themeTint="D8"/>
    </w:rPr>
  </w:style>
  <w:style w:type="paragraph" w:styleId="Ttulo">
    <w:name w:val="Title"/>
    <w:basedOn w:val="Normal"/>
    <w:next w:val="Normal"/>
    <w:link w:val="TtuloCar"/>
    <w:uiPriority w:val="10"/>
    <w:qFormat/>
    <w:rsid w:val="00793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39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39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39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39F1"/>
    <w:pPr>
      <w:spacing w:before="160"/>
      <w:jc w:val="center"/>
    </w:pPr>
    <w:rPr>
      <w:i/>
      <w:iCs/>
      <w:color w:val="404040" w:themeColor="text1" w:themeTint="BF"/>
    </w:rPr>
  </w:style>
  <w:style w:type="character" w:customStyle="1" w:styleId="CitaCar">
    <w:name w:val="Cita Car"/>
    <w:basedOn w:val="Fuentedeprrafopredeter"/>
    <w:link w:val="Cita"/>
    <w:uiPriority w:val="29"/>
    <w:rsid w:val="007939F1"/>
    <w:rPr>
      <w:i/>
      <w:iCs/>
      <w:color w:val="404040" w:themeColor="text1" w:themeTint="BF"/>
    </w:rPr>
  </w:style>
  <w:style w:type="paragraph" w:styleId="Prrafodelista">
    <w:name w:val="List Paragraph"/>
    <w:basedOn w:val="Normal"/>
    <w:uiPriority w:val="34"/>
    <w:qFormat/>
    <w:rsid w:val="007939F1"/>
    <w:pPr>
      <w:ind w:left="720"/>
      <w:contextualSpacing/>
    </w:pPr>
  </w:style>
  <w:style w:type="character" w:styleId="nfasisintenso">
    <w:name w:val="Intense Emphasis"/>
    <w:basedOn w:val="Fuentedeprrafopredeter"/>
    <w:uiPriority w:val="21"/>
    <w:qFormat/>
    <w:rsid w:val="007939F1"/>
    <w:rPr>
      <w:i/>
      <w:iCs/>
      <w:color w:val="0F4761" w:themeColor="accent1" w:themeShade="BF"/>
    </w:rPr>
  </w:style>
  <w:style w:type="paragraph" w:styleId="Citadestacada">
    <w:name w:val="Intense Quote"/>
    <w:basedOn w:val="Normal"/>
    <w:next w:val="Normal"/>
    <w:link w:val="CitadestacadaCar"/>
    <w:uiPriority w:val="30"/>
    <w:qFormat/>
    <w:rsid w:val="00793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39F1"/>
    <w:rPr>
      <w:i/>
      <w:iCs/>
      <w:color w:val="0F4761" w:themeColor="accent1" w:themeShade="BF"/>
    </w:rPr>
  </w:style>
  <w:style w:type="character" w:styleId="Referenciaintensa">
    <w:name w:val="Intense Reference"/>
    <w:basedOn w:val="Fuentedeprrafopredeter"/>
    <w:uiPriority w:val="32"/>
    <w:qFormat/>
    <w:rsid w:val="007939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hchr.org/en/special-procedures/sr-poverty" TargetMode="External"/><Relationship Id="rId18" Type="http://schemas.openxmlformats.org/officeDocument/2006/relationships/hyperlink" Target="mailto:dharisha.indraguptha@un.org" TargetMode="External"/><Relationship Id="rId26" Type="http://schemas.openxmlformats.org/officeDocument/2006/relationships/hyperlink" Target="https://www.ohchr.org/en/documents/thematic-reports/ahrc6242add2-roadmap-eradicating-poverty-beyond-growth-report-special" TargetMode="External"/><Relationship Id="rId39" Type="http://schemas.openxmlformats.org/officeDocument/2006/relationships/hyperlink" Target="https://www.ohchr.org/en/documents/thematic-reports/ahrc6242add2-roadmap-eradicating-poverty-beyond-growth-report-special" TargetMode="External"/><Relationship Id="rId21" Type="http://schemas.openxmlformats.org/officeDocument/2006/relationships/hyperlink" Target="https://www.ohchr.org/fr/documents/thematic-reports/ahrc6242-manufacturing-poverty-report-special-rapporteur-extreme-poverty" TargetMode="External"/><Relationship Id="rId34" Type="http://schemas.openxmlformats.org/officeDocument/2006/relationships/hyperlink" Target="https://www.ohchr.org/en/documents/thematic-reports/ahrc6242add2-roadmap-eradicating-poverty-beyond-growth-report-special" TargetMode="External"/><Relationship Id="rId42" Type="http://schemas.openxmlformats.org/officeDocument/2006/relationships/hyperlink" Target="https://www.ohchr.org/es/special-procedures-human-rights-council" TargetMode="External"/><Relationship Id="rId47" Type="http://schemas.openxmlformats.org/officeDocument/2006/relationships/hyperlink" Target="https://eur02.safelinks.protection.outlook.com/?url=https%3A%2F%2Ftwitter.com%2FUN_SPExperts&amp;data=05%7C02%7Chrc-sr-extremepoverty-diazgalan%40un.org%7C4db99c8209d74464f3b108ded2ac23e9%7C0f9e35db544f4f60bdcc5ea416e6dc70%7C0%7C0%7C639179834140132194%7CUnknown%7CTWFpbGZsb3d8eyJFbXB0eU1hcGkiOnRydWUsIlYiOiIwLjAuMDAwMCIsIlAiOiJXaW4zMiIsIkFOIjoiTWFpbCIsIldUIjoyfQ%3D%3D%7C0%7C%7C%7C&amp;sdata=hah2yfJLVHMgEbyVP2ihTpJtsnR6IFlmzbpFDLDo4ek%3D&amp;reserved=0" TargetMode="External"/><Relationship Id="rId7" Type="http://schemas.openxmlformats.org/officeDocument/2006/relationships/hyperlink" Target="https://www.ohchr.org/en/documents/thematic-reports/ahrc6242-manufacturing-poverty-report-special-rapporteur-extreme-poverty" TargetMode="External"/><Relationship Id="rId2" Type="http://schemas.openxmlformats.org/officeDocument/2006/relationships/settings" Target="settings.xml"/><Relationship Id="rId16" Type="http://schemas.openxmlformats.org/officeDocument/2006/relationships/hyperlink" Target="mailto:hrc-sr-extremepoverty@un.org" TargetMode="External"/><Relationship Id="rId29" Type="http://schemas.openxmlformats.org/officeDocument/2006/relationships/hyperlink" Target="https://uhri.ohchr.org/fr/" TargetMode="External"/><Relationship Id="rId11" Type="http://schemas.openxmlformats.org/officeDocument/2006/relationships/hyperlink" Target="https://www.ohchr.org/en/documents/thematic-reports/ahrc6242add2-roadmap-eradicating-poverty-beyond-growth-report-special" TargetMode="External"/><Relationship Id="rId24" Type="http://schemas.openxmlformats.org/officeDocument/2006/relationships/hyperlink" Target="https://www.ohchr.org/en/documents/thematic-reports/ahrc6242add2-roadmap-eradicating-poverty-beyond-growth-report-special" TargetMode="External"/><Relationship Id="rId32" Type="http://schemas.openxmlformats.org/officeDocument/2006/relationships/hyperlink" Target="mailto:dharisha.indraguptha@un.org" TargetMode="External"/><Relationship Id="rId37" Type="http://schemas.openxmlformats.org/officeDocument/2006/relationships/hyperlink" Target="https://www.ohchr.org/en/documents/thematic-reports/ahrc6242add2-roadmap-eradicating-poverty-beyond-growth-report-special" TargetMode="External"/><Relationship Id="rId40" Type="http://schemas.openxmlformats.org/officeDocument/2006/relationships/hyperlink" Target="https://www.ohchr.org/en/documents/thematic-reports/ahrc6242add2-roadmap-eradicating-poverty-beyond-growth-report-special" TargetMode="External"/><Relationship Id="rId45" Type="http://schemas.openxmlformats.org/officeDocument/2006/relationships/hyperlink" Target="mailto:maya.derouaz@un.org" TargetMode="External"/><Relationship Id="rId5" Type="http://schemas.openxmlformats.org/officeDocument/2006/relationships/image" Target="media/image2.png"/><Relationship Id="rId15" Type="http://schemas.openxmlformats.org/officeDocument/2006/relationships/hyperlink" Target="https://uhri.ohchr.org/en/" TargetMode="External"/><Relationship Id="rId23" Type="http://schemas.openxmlformats.org/officeDocument/2006/relationships/hyperlink" Target="https://www.ohchr.org/en/documents/thematic-reports/ahrc6242add2-roadmap-eradicating-poverty-beyond-growth-report-special" TargetMode="External"/><Relationship Id="rId28" Type="http://schemas.openxmlformats.org/officeDocument/2006/relationships/hyperlink" Target="https://www.ohchr.org/fr/special-procedures-human-rights-council" TargetMode="External"/><Relationship Id="rId36" Type="http://schemas.openxmlformats.org/officeDocument/2006/relationships/hyperlink" Target="https://www.ohchr.org/en/documents/thematic-reports/ahrc6242add2-roadmap-eradicating-poverty-beyond-growth-report-special" TargetMode="External"/><Relationship Id="rId49" Type="http://schemas.openxmlformats.org/officeDocument/2006/relationships/theme" Target="theme/theme1.xml"/><Relationship Id="rId10" Type="http://schemas.openxmlformats.org/officeDocument/2006/relationships/hyperlink" Target="https://www.ohchr.org/en/documents/thematic-reports/ahrc6242add2-roadmap-eradicating-poverty-beyond-growth-report-special" TargetMode="External"/><Relationship Id="rId19" Type="http://schemas.openxmlformats.org/officeDocument/2006/relationships/hyperlink" Target="https://eur02.safelinks.protection.outlook.com/?url=https%3A%2F%2Ftwitter.com%2FUN_SPExperts&amp;data=05%7C02%7Chrc-sr-extremepoverty-diazgalan%40un.org%7C4db99c8209d74464f3b108ded2ac23e9%7C0f9e35db544f4f60bdcc5ea416e6dc70%7C0%7C0%7C639179834140085744%7CUnknown%7CTWFpbGZsb3d8eyJFbXB0eU1hcGkiOnRydWUsIlYiOiIwLjAuMDAwMCIsIlAiOiJXaW4zMiIsIkFOIjoiTWFpbCIsIldUIjoyfQ%3D%3D%7C0%7C%7C%7C&amp;sdata=OUTkm11U0owuutvq3CerKJ6FNMK4M%2Fr87QAvmaxaAf4%3D&amp;reserved=0" TargetMode="External"/><Relationship Id="rId31" Type="http://schemas.openxmlformats.org/officeDocument/2006/relationships/hyperlink" Target="mailto:maya.derouaz@un.org" TargetMode="External"/><Relationship Id="rId44" Type="http://schemas.openxmlformats.org/officeDocument/2006/relationships/hyperlink" Target="mailto:hrc-sr-extremepoverty@un.org" TargetMode="External"/><Relationship Id="rId4" Type="http://schemas.openxmlformats.org/officeDocument/2006/relationships/image" Target="media/image1.png"/><Relationship Id="rId9" Type="http://schemas.openxmlformats.org/officeDocument/2006/relationships/hyperlink" Target="https://www.ohchr.org/en/documents/thematic-reports/ahrc6242add2-roadmap-eradicating-poverty-beyond-growth-report-special" TargetMode="External"/><Relationship Id="rId14" Type="http://schemas.openxmlformats.org/officeDocument/2006/relationships/hyperlink" Target="https://www.ohchr.org/en/special-procedures-human-rights-council" TargetMode="External"/><Relationship Id="rId22" Type="http://schemas.openxmlformats.org/officeDocument/2006/relationships/hyperlink" Target="https://www.ohchr.org/en/documents/thematic-reports/ahrc6242add2-roadmap-eradicating-poverty-beyond-growth-report-special" TargetMode="External"/><Relationship Id="rId27" Type="http://schemas.openxmlformats.org/officeDocument/2006/relationships/hyperlink" Target="http://www.ohchr.org/fr/special-procedures/sr-poverty" TargetMode="External"/><Relationship Id="rId30" Type="http://schemas.openxmlformats.org/officeDocument/2006/relationships/hyperlink" Target="mailto:hrc-sr-extremepoverty@un.org" TargetMode="External"/><Relationship Id="rId35" Type="http://schemas.openxmlformats.org/officeDocument/2006/relationships/hyperlink" Target="https://www.ohchr.org/en/documents/thematic-reports/ahrc6242-manufacturing-poverty-report-special-rapporteur-extreme-poverty" TargetMode="External"/><Relationship Id="rId43" Type="http://schemas.openxmlformats.org/officeDocument/2006/relationships/hyperlink" Target="https://uhri.ohchr.org/es/" TargetMode="External"/><Relationship Id="rId48" Type="http://schemas.openxmlformats.org/officeDocument/2006/relationships/fontTable" Target="fontTable.xml"/><Relationship Id="rId8" Type="http://schemas.openxmlformats.org/officeDocument/2006/relationships/hyperlink" Target="https://www.ohchr.org/en/documents/thematic-reports/ahrc6242add2-roadmap-eradicating-poverty-beyond-growth-report-special" TargetMode="External"/><Relationship Id="rId3" Type="http://schemas.openxmlformats.org/officeDocument/2006/relationships/webSettings" Target="webSettings.xml"/><Relationship Id="rId12" Type="http://schemas.openxmlformats.org/officeDocument/2006/relationships/hyperlink" Target="https://www.ohchr.org/en/documents/thematic-reports/ahrc6242add2-roadmap-eradicating-poverty-beyond-growth-report-special" TargetMode="External"/><Relationship Id="rId17" Type="http://schemas.openxmlformats.org/officeDocument/2006/relationships/hyperlink" Target="mailto:maya.derouaz@un.org" TargetMode="External"/><Relationship Id="rId25" Type="http://schemas.openxmlformats.org/officeDocument/2006/relationships/hyperlink" Target="https://www.ohchr.org/en/documents/thematic-reports/ahrc6242add2-roadmap-eradicating-poverty-beyond-growth-report-special" TargetMode="External"/><Relationship Id="rId33" Type="http://schemas.openxmlformats.org/officeDocument/2006/relationships/hyperlink" Target="https://eur02.safelinks.protection.outlook.com/?url=https%3A%2F%2Ftwitter.com%2FUN_SPExperts&amp;data=05%7C02%7Chrc-sr-extremepoverty-diazgalan%40un.org%7C4db99c8209d74464f3b108ded2ac23e9%7C0f9e35db544f4f60bdcc5ea416e6dc70%7C0%7C0%7C639179834140113553%7CUnknown%7CTWFpbGZsb3d8eyJFbXB0eU1hcGkiOnRydWUsIlYiOiIwLjAuMDAwMCIsIlAiOiJXaW4zMiIsIkFOIjoiTWFpbCIsIldUIjoyfQ%3D%3D%7C0%7C%7C%7C&amp;sdata=BNe5VHiirS8fBdBWnDzLZ85sUPLUIVfxnNQ88iO3AF4%3D&amp;reserved=0" TargetMode="External"/><Relationship Id="rId38" Type="http://schemas.openxmlformats.org/officeDocument/2006/relationships/hyperlink" Target="https://www.ohchr.org/en/documents/thematic-reports/ahrc6242add2-roadmap-eradicating-poverty-beyond-growth-report-special" TargetMode="External"/><Relationship Id="rId46" Type="http://schemas.openxmlformats.org/officeDocument/2006/relationships/hyperlink" Target="mailto:dharisha.indraguptha@un.org" TargetMode="External"/><Relationship Id="rId20" Type="http://schemas.openxmlformats.org/officeDocument/2006/relationships/hyperlink" Target="https://www.ohchr.org/en/documents/thematic-reports/ahrc6242add2-roadmap-eradicating-poverty-beyond-growth-report-special" TargetMode="External"/><Relationship Id="rId41" Type="http://schemas.openxmlformats.org/officeDocument/2006/relationships/hyperlink" Target="http://www.ohchr.org/es/special-procedures/sr-poverty" TargetMode="External"/><Relationship Id="rId1" Type="http://schemas.openxmlformats.org/officeDocument/2006/relationships/styles" Target="styles.xml"/><Relationship Id="rId6" Type="http://schemas.openxmlformats.org/officeDocument/2006/relationships/hyperlink" Target="https://www.ohchr.org/en/documents/thematic-reports/ahrc6242add2-roadmap-eradicating-poverty-beyond-growth-report-spe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4209</Words>
  <Characters>23154</Characters>
  <Application>Microsoft Office Word</Application>
  <DocSecurity>0</DocSecurity>
  <Lines>192</Lines>
  <Paragraphs>54</Paragraphs>
  <ScaleCrop>false</ScaleCrop>
  <Company/>
  <LinksUpToDate>false</LinksUpToDate>
  <CharactersWithSpaces>27309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Carolina Díaz Galán</dc:creator>
  <cp:keywords/>
  <dc:description/>
  <cp:lastModifiedBy>Elena Carolina Díaz Galán</cp:lastModifiedBy>
  <cp:revision>2</cp:revision>
  <dcterms:created xsi:type="dcterms:W3CDTF">2026-07-21T18:18:00Z</dcterms:created>
  <dcterms:modified xsi:type="dcterms:W3CDTF">2026-07-21T18:19:00Z</dcterms:modified>
</cp:coreProperties>
</file>